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89434A">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D211AB" w:rsidRPr="006E7986" w:rsidRDefault="00D211AB" w:rsidP="00D211AB">
      <w:pPr>
        <w:pStyle w:val="af6"/>
        <w:jc w:val="center"/>
        <w:rPr>
          <w:rFonts w:ascii="Times New Roman" w:hAnsi="Times New Roman"/>
          <w:sz w:val="28"/>
          <w:szCs w:val="28"/>
        </w:rPr>
      </w:pPr>
      <w:r w:rsidRPr="006E7986">
        <w:rPr>
          <w:rFonts w:ascii="Times New Roman" w:hAnsi="Times New Roman"/>
          <w:sz w:val="28"/>
          <w:szCs w:val="28"/>
        </w:rPr>
        <w:t xml:space="preserve">«Защита населения и территории от чрезвычайных ситуаций, обеспечение пожарной безопасности и безопасности людей на водных объектах»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E7986">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E7986">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A8642C" w:rsidRPr="002219D5">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B00A9D">
      <w:pPr>
        <w:ind w:firstLine="567"/>
        <w:jc w:val="both"/>
        <w:rPr>
          <w:sz w:val="28"/>
          <w:szCs w:val="28"/>
        </w:rPr>
      </w:pPr>
      <w:r w:rsidRPr="00C319B0">
        <w:rPr>
          <w:sz w:val="28"/>
          <w:szCs w:val="28"/>
        </w:rPr>
        <w:t xml:space="preserve">В целях создания условий для </w:t>
      </w:r>
      <w:r w:rsidR="00A8642C" w:rsidRPr="00B00A9D">
        <w:rPr>
          <w:i/>
          <w:sz w:val="28"/>
          <w:szCs w:val="28"/>
        </w:rPr>
        <w:t xml:space="preserve">повышения уровня защищенности населения и территории </w:t>
      </w:r>
      <w:r w:rsidR="006E7986">
        <w:rPr>
          <w:i/>
          <w:sz w:val="28"/>
          <w:szCs w:val="28"/>
        </w:rPr>
        <w:t>Барабанщиковск</w:t>
      </w:r>
      <w:r w:rsidR="00A8642C" w:rsidRPr="00B00A9D">
        <w:rPr>
          <w:i/>
          <w:sz w:val="28"/>
          <w:szCs w:val="28"/>
        </w:rPr>
        <w:t xml:space="preserve">ого сельского поселения от пожаров, чрезвычайных ситуаций и безопасности людей на водных объектах,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w:t>
      </w:r>
      <w:r w:rsidR="006E7986">
        <w:rPr>
          <w:i/>
          <w:sz w:val="28"/>
          <w:szCs w:val="28"/>
        </w:rPr>
        <w:t>Барабанщиковск</w:t>
      </w:r>
      <w:r w:rsidR="00A8642C" w:rsidRPr="00B00A9D">
        <w:rPr>
          <w:i/>
          <w:sz w:val="28"/>
          <w:szCs w:val="28"/>
        </w:rPr>
        <w:t>ого сельского поселения; модернизация муниципальной системы оповещения населения – 100 процентов от оповещаемого населения действующей муниципальной системой оповещения, 100 процентов от количества населения поселения</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6E7986">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A8642C" w:rsidRPr="002219D5">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6E7986">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№7</w:t>
      </w:r>
      <w:r w:rsidR="006E7986">
        <w:rPr>
          <w:sz w:val="28"/>
          <w:szCs w:val="28"/>
        </w:rPr>
        <w:t>2</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517CE" w:rsidRPr="00B00A9D" w:rsidRDefault="00B00A9D" w:rsidP="00B00A9D">
      <w:pPr>
        <w:ind w:firstLine="567"/>
        <w:jc w:val="both"/>
        <w:rPr>
          <w:i/>
          <w:sz w:val="28"/>
          <w:szCs w:val="28"/>
        </w:rPr>
      </w:pPr>
      <w:r>
        <w:rPr>
          <w:sz w:val="28"/>
          <w:szCs w:val="28"/>
        </w:rPr>
        <w:t>к</w:t>
      </w:r>
      <w:r w:rsidRPr="00B00A9D">
        <w:rPr>
          <w:sz w:val="28"/>
          <w:szCs w:val="28"/>
        </w:rPr>
        <w:t>оличество людей,  которым оказана помощь при пожарах, чрезвычайных ситуациях и происшествиях</w:t>
      </w:r>
      <w:r w:rsidRPr="00B00A9D">
        <w:rPr>
          <w:i/>
          <w:sz w:val="28"/>
          <w:szCs w:val="28"/>
        </w:rPr>
        <w:t xml:space="preserve"> </w:t>
      </w:r>
      <w:r w:rsidRPr="00B00A9D">
        <w:rPr>
          <w:sz w:val="28"/>
          <w:szCs w:val="28"/>
        </w:rPr>
        <w:t>составляет 0 человек;</w:t>
      </w:r>
    </w:p>
    <w:p w:rsidR="00B00A9D" w:rsidRPr="00B00A9D" w:rsidRDefault="00B00A9D" w:rsidP="00B00A9D">
      <w:pPr>
        <w:ind w:firstLine="567"/>
        <w:jc w:val="both"/>
        <w:rPr>
          <w:sz w:val="28"/>
          <w:szCs w:val="28"/>
        </w:rPr>
      </w:pPr>
      <w:r>
        <w:rPr>
          <w:sz w:val="28"/>
          <w:szCs w:val="28"/>
        </w:rPr>
        <w:t>проведено 5</w:t>
      </w:r>
      <w:r w:rsidRPr="00B00A9D">
        <w:rPr>
          <w:sz w:val="28"/>
          <w:szCs w:val="28"/>
        </w:rPr>
        <w:t xml:space="preserve"> профилактических мероприятий по предупреждению пожаров, чрезвычайных ситуаций и происшествий на водных объектах</w:t>
      </w:r>
      <w:r>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B517CE" w:rsidRPr="00C319B0" w:rsidTr="0090391D">
        <w:trPr>
          <w:trHeight w:hRule="exact" w:val="187"/>
        </w:trPr>
        <w:tc>
          <w:tcPr>
            <w:tcW w:w="2410" w:type="dxa"/>
            <w:tcBorders>
              <w:top w:val="nil"/>
              <w:left w:val="nil"/>
              <w:bottom w:val="nil"/>
              <w:right w:val="nil"/>
            </w:tcBorders>
            <w:shd w:val="clear" w:color="auto" w:fill="auto"/>
          </w:tcPr>
          <w:p w:rsidR="00B517CE" w:rsidRPr="00C319B0" w:rsidRDefault="00B517CE" w:rsidP="0090391D">
            <w:pPr>
              <w:tabs>
                <w:tab w:val="left" w:pos="3044"/>
              </w:tabs>
              <w:jc w:val="center"/>
              <w:rPr>
                <w:i/>
                <w:sz w:val="28"/>
                <w:szCs w:val="28"/>
                <w:vertAlign w:val="superscript"/>
              </w:rPr>
            </w:pPr>
          </w:p>
        </w:tc>
      </w:tr>
    </w:tbl>
    <w:p w:rsidR="009F24E0" w:rsidRPr="00C319B0" w:rsidRDefault="00B517CE" w:rsidP="009F24E0">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9F24E0" w:rsidRPr="009F24E0">
        <w:rPr>
          <w:rFonts w:eastAsia="TimesNewRoman"/>
          <w:i/>
          <w:sz w:val="28"/>
          <w:szCs w:val="28"/>
        </w:rPr>
        <w:t>Пожарная безопасность</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9F24E0">
        <w:rPr>
          <w:sz w:val="28"/>
          <w:szCs w:val="28"/>
        </w:rPr>
        <w:t>1</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9F24E0">
        <w:rPr>
          <w:sz w:val="28"/>
          <w:szCs w:val="28"/>
        </w:rPr>
        <w:t>2</w:t>
      </w:r>
    </w:p>
    <w:p w:rsidR="00B517CE" w:rsidRPr="00C319B0" w:rsidRDefault="00B517CE" w:rsidP="00B517CE">
      <w:pPr>
        <w:jc w:val="both"/>
        <w:rPr>
          <w:sz w:val="28"/>
          <w:szCs w:val="28"/>
        </w:rPr>
      </w:pPr>
      <w:r w:rsidRPr="00C319B0">
        <w:rPr>
          <w:sz w:val="28"/>
          <w:szCs w:val="28"/>
        </w:rPr>
        <w:t>контрольных 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6E7986">
        <w:rPr>
          <w:sz w:val="28"/>
          <w:szCs w:val="28"/>
        </w:rPr>
        <w:t>Противопожарные мероприятия</w:t>
      </w:r>
      <w:r w:rsidRPr="00C319B0">
        <w:rPr>
          <w:sz w:val="28"/>
          <w:szCs w:val="28"/>
        </w:rPr>
        <w:t>»</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Pr="00EB3D2B" w:rsidRDefault="00EB3D2B" w:rsidP="00EB3D2B">
      <w:pPr>
        <w:ind w:firstLine="567"/>
        <w:jc w:val="both"/>
        <w:rPr>
          <w:sz w:val="28"/>
          <w:szCs w:val="28"/>
        </w:rPr>
      </w:pPr>
      <w:r w:rsidRPr="00EB3D2B">
        <w:rPr>
          <w:sz w:val="28"/>
          <w:szCs w:val="28"/>
        </w:rPr>
        <w:t xml:space="preserve">Выполнены работы </w:t>
      </w:r>
      <w:r w:rsidRPr="00664685">
        <w:rPr>
          <w:sz w:val="28"/>
          <w:szCs w:val="28"/>
        </w:rPr>
        <w:t>по</w:t>
      </w:r>
      <w:r w:rsidR="00664685">
        <w:rPr>
          <w:sz w:val="28"/>
          <w:szCs w:val="28"/>
        </w:rPr>
        <w:t xml:space="preserve"> огнезащитной обработке деревянных конструкций мансард и элементов кровли зданий Администрации и перезарядку огнетушителей,</w:t>
      </w:r>
      <w:r w:rsidRPr="00664685">
        <w:rPr>
          <w:sz w:val="28"/>
          <w:szCs w:val="28"/>
        </w:rPr>
        <w:t xml:space="preserve"> опашке территории </w:t>
      </w:r>
      <w:r w:rsidR="006E7986" w:rsidRPr="00664685">
        <w:rPr>
          <w:sz w:val="28"/>
          <w:szCs w:val="28"/>
        </w:rPr>
        <w:t>Барабанщиковск</w:t>
      </w:r>
      <w:r w:rsidRPr="00664685">
        <w:rPr>
          <w:sz w:val="28"/>
          <w:szCs w:val="28"/>
        </w:rPr>
        <w:t>ого сельского поселения, заключен договор по страхованию членов Добровольной пожарной дружины.</w:t>
      </w:r>
    </w:p>
    <w:p w:rsidR="00B517CE" w:rsidRPr="00C319B0" w:rsidRDefault="00B517CE" w:rsidP="00EB3D2B">
      <w:pPr>
        <w:ind w:firstLine="567"/>
        <w:jc w:val="both"/>
        <w:rPr>
          <w:sz w:val="28"/>
          <w:szCs w:val="28"/>
        </w:rPr>
      </w:pPr>
      <w:r w:rsidRPr="00C319B0">
        <w:rPr>
          <w:sz w:val="28"/>
          <w:szCs w:val="28"/>
        </w:rPr>
        <w:t>По комплексу процессных мероприятий «</w:t>
      </w:r>
      <w:r w:rsidR="00EB3D2B" w:rsidRPr="00EB3D2B">
        <w:rPr>
          <w:rFonts w:eastAsia="TimesNewRoman"/>
          <w:sz w:val="28"/>
          <w:szCs w:val="28"/>
        </w:rPr>
        <w:t>Пожарная безопасность</w:t>
      </w:r>
      <w:r w:rsidRPr="00C319B0">
        <w:rPr>
          <w:sz w:val="28"/>
          <w:szCs w:val="28"/>
        </w:rPr>
        <w:t xml:space="preserve">» </w:t>
      </w:r>
    </w:p>
    <w:p w:rsidR="00EB3D2B" w:rsidRDefault="00B517CE" w:rsidP="00B517CE">
      <w:pPr>
        <w:jc w:val="both"/>
        <w:rPr>
          <w:sz w:val="28"/>
          <w:szCs w:val="28"/>
        </w:rPr>
      </w:pPr>
      <w:r w:rsidRPr="00C319B0">
        <w:rPr>
          <w:sz w:val="28"/>
          <w:szCs w:val="28"/>
        </w:rPr>
        <w:t>предусмотрено выполнение</w:t>
      </w:r>
      <w:r w:rsidR="00EB3D2B">
        <w:rPr>
          <w:sz w:val="28"/>
          <w:szCs w:val="28"/>
        </w:rPr>
        <w:t xml:space="preserve"> 2</w:t>
      </w:r>
      <w:r w:rsidRPr="00C319B0">
        <w:rPr>
          <w:sz w:val="28"/>
          <w:szCs w:val="28"/>
        </w:rPr>
        <w:t xml:space="preserve"> контрольных точек, из них достигнуто в установленные сроки – </w:t>
      </w:r>
      <w:r w:rsidR="00EB3D2B">
        <w:rPr>
          <w:sz w:val="28"/>
          <w:szCs w:val="28"/>
        </w:rPr>
        <w:t>2</w:t>
      </w:r>
      <w:r w:rsidRPr="00C319B0">
        <w:rPr>
          <w:sz w:val="28"/>
          <w:szCs w:val="28"/>
        </w:rPr>
        <w:t xml:space="preserve">, с нарушением срока – </w:t>
      </w:r>
      <w:r w:rsidR="00EB3D2B">
        <w:rPr>
          <w:sz w:val="28"/>
          <w:szCs w:val="28"/>
        </w:rPr>
        <w:t>0,</w:t>
      </w:r>
      <w:r w:rsidRPr="00C319B0">
        <w:rPr>
          <w:sz w:val="28"/>
          <w:szCs w:val="28"/>
        </w:rPr>
        <w:t xml:space="preserve"> не достигнуто – </w:t>
      </w:r>
      <w:r w:rsidR="00EB3D2B">
        <w:rPr>
          <w:sz w:val="28"/>
          <w:szCs w:val="28"/>
        </w:rPr>
        <w:t>0.</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EB3D2B">
        <w:rPr>
          <w:rFonts w:eastAsia="TimesNewRoman"/>
          <w:i/>
          <w:sz w:val="28"/>
          <w:szCs w:val="28"/>
        </w:rPr>
        <w:t>Защита населения от чрезвычайных ситуаций</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BF0413">
        <w:rPr>
          <w:sz w:val="28"/>
          <w:szCs w:val="28"/>
        </w:rPr>
        <w:t>1</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sidR="00BF0413">
        <w:rPr>
          <w:sz w:val="28"/>
          <w:szCs w:val="28"/>
        </w:rPr>
        <w:t>2</w:t>
      </w:r>
      <w:r>
        <w:rPr>
          <w:sz w:val="28"/>
          <w:szCs w:val="28"/>
        </w:rPr>
        <w:t xml:space="preserve"> </w:t>
      </w:r>
      <w:r w:rsidRPr="00C319B0">
        <w:rPr>
          <w:sz w:val="28"/>
          <w:szCs w:val="28"/>
        </w:rPr>
        <w:t>контрольных точек.</w:t>
      </w:r>
    </w:p>
    <w:p w:rsidR="00EB3D2B" w:rsidRPr="00C319B0" w:rsidRDefault="00EB3D2B" w:rsidP="00EB3D2B">
      <w:pPr>
        <w:rPr>
          <w:rFonts w:eastAsia="Calibri"/>
          <w:vanish/>
          <w:szCs w:val="22"/>
          <w:lang w:eastAsia="en-US"/>
        </w:rPr>
      </w:pPr>
    </w:p>
    <w:p w:rsidR="00EB3D2B" w:rsidRDefault="00EB3D2B" w:rsidP="00EB3D2B">
      <w:pPr>
        <w:jc w:val="both"/>
        <w:rPr>
          <w:sz w:val="28"/>
          <w:szCs w:val="28"/>
        </w:rPr>
      </w:pPr>
      <w:r w:rsidRPr="00C319B0">
        <w:rPr>
          <w:sz w:val="28"/>
          <w:szCs w:val="28"/>
        </w:rPr>
        <w:t>Мероприятие (результат) 1. «</w:t>
      </w:r>
      <w:r w:rsidR="006E7986">
        <w:rPr>
          <w:sz w:val="28"/>
          <w:szCs w:val="28"/>
        </w:rPr>
        <w:t>Предупреждение и ликвидация чрезвычайных ситуаций и пропаганда среди населения безопасности жизнедеятельности»</w:t>
      </w:r>
      <w:r w:rsidRPr="00C319B0">
        <w:rPr>
          <w:sz w:val="28"/>
          <w:szCs w:val="28"/>
        </w:rPr>
        <w:br/>
        <w:t xml:space="preserve">выполнено </w:t>
      </w:r>
      <w:r>
        <w:rPr>
          <w:sz w:val="28"/>
          <w:szCs w:val="28"/>
        </w:rPr>
        <w:t>в полном объеме.</w:t>
      </w:r>
      <w:r w:rsidRPr="00C319B0">
        <w:rPr>
          <w:sz w:val="28"/>
          <w:szCs w:val="28"/>
        </w:rPr>
        <w:t xml:space="preserve"> </w:t>
      </w:r>
    </w:p>
    <w:p w:rsidR="00FF12A1" w:rsidRPr="00EB3D2B" w:rsidRDefault="004B5BAD" w:rsidP="00FF12A1">
      <w:pPr>
        <w:ind w:firstLine="567"/>
        <w:jc w:val="both"/>
        <w:rPr>
          <w:sz w:val="28"/>
          <w:szCs w:val="28"/>
        </w:rPr>
      </w:pPr>
      <w:r w:rsidRPr="00775722">
        <w:rPr>
          <w:sz w:val="28"/>
          <w:szCs w:val="28"/>
        </w:rPr>
        <w:t>Организована работа с населением о своевременном доведении информации об угрозе и возникновении чрезвычайных ситуаций</w:t>
      </w:r>
      <w:r w:rsidR="00BF0413" w:rsidRPr="00775722">
        <w:rPr>
          <w:sz w:val="28"/>
          <w:szCs w:val="28"/>
        </w:rPr>
        <w:t>, п</w:t>
      </w:r>
      <w:r w:rsidR="00FF12A1" w:rsidRPr="00775722">
        <w:rPr>
          <w:sz w:val="28"/>
          <w:szCs w:val="28"/>
        </w:rPr>
        <w:t>роведены плановые учения, реализованные через систему оповещения.</w:t>
      </w:r>
    </w:p>
    <w:p w:rsidR="001621C1" w:rsidRDefault="00EB3D2B" w:rsidP="001621C1">
      <w:pPr>
        <w:ind w:firstLine="567"/>
        <w:jc w:val="both"/>
        <w:rPr>
          <w:sz w:val="28"/>
          <w:szCs w:val="28"/>
        </w:rPr>
      </w:pPr>
      <w:r w:rsidRPr="00C319B0">
        <w:rPr>
          <w:sz w:val="28"/>
          <w:szCs w:val="28"/>
        </w:rPr>
        <w:t>По комплексу процессных мероприятий «</w:t>
      </w:r>
      <w:r w:rsidR="001621C1" w:rsidRPr="001621C1">
        <w:rPr>
          <w:rFonts w:eastAsia="TimesNewRoman"/>
          <w:sz w:val="28"/>
          <w:szCs w:val="28"/>
        </w:rPr>
        <w:t>Защита населения от чрезвычайных ситуаций</w:t>
      </w:r>
      <w:r w:rsidRPr="00C319B0">
        <w:rPr>
          <w:sz w:val="28"/>
          <w:szCs w:val="28"/>
        </w:rPr>
        <w:t>» предусмотрено выполнение</w:t>
      </w:r>
      <w:r>
        <w:rPr>
          <w:sz w:val="28"/>
          <w:szCs w:val="28"/>
        </w:rPr>
        <w:t xml:space="preserve"> </w:t>
      </w:r>
      <w:r w:rsidR="00BF0413">
        <w:rPr>
          <w:sz w:val="28"/>
          <w:szCs w:val="28"/>
        </w:rPr>
        <w:t>2</w:t>
      </w:r>
      <w:r w:rsidRPr="00C319B0">
        <w:rPr>
          <w:sz w:val="28"/>
          <w:szCs w:val="28"/>
        </w:rPr>
        <w:t xml:space="preserve"> контрольных точек, из них достигнуто в установленные сроки – </w:t>
      </w:r>
      <w:r w:rsidR="00BF0413">
        <w:rPr>
          <w:sz w:val="28"/>
          <w:szCs w:val="28"/>
        </w:rPr>
        <w:t>2</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p>
    <w:p w:rsidR="001621C1" w:rsidRPr="00C319B0" w:rsidRDefault="001621C1" w:rsidP="001621C1">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1621C1">
        <w:rPr>
          <w:rFonts w:eastAsia="TimesNewRoman"/>
          <w:i/>
          <w:sz w:val="28"/>
          <w:szCs w:val="28"/>
        </w:rPr>
        <w:t>Обеспечение безопасности на воде</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Pr>
          <w:sz w:val="28"/>
          <w:szCs w:val="28"/>
        </w:rPr>
        <w:t>1</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Pr>
          <w:sz w:val="28"/>
          <w:szCs w:val="28"/>
        </w:rPr>
        <w:t xml:space="preserve">2 </w:t>
      </w:r>
      <w:r w:rsidRPr="00C319B0">
        <w:rPr>
          <w:sz w:val="28"/>
          <w:szCs w:val="28"/>
        </w:rPr>
        <w:t>контрольных точек.</w:t>
      </w:r>
    </w:p>
    <w:p w:rsidR="001621C1" w:rsidRPr="00C319B0" w:rsidRDefault="001621C1" w:rsidP="001621C1">
      <w:pPr>
        <w:rPr>
          <w:rFonts w:eastAsia="Calibri"/>
          <w:vanish/>
          <w:szCs w:val="22"/>
          <w:lang w:eastAsia="en-US"/>
        </w:rPr>
      </w:pPr>
    </w:p>
    <w:p w:rsidR="001621C1" w:rsidRDefault="001621C1" w:rsidP="001621C1">
      <w:pPr>
        <w:jc w:val="both"/>
        <w:rPr>
          <w:sz w:val="28"/>
          <w:szCs w:val="28"/>
        </w:rPr>
      </w:pPr>
      <w:r w:rsidRPr="00C319B0">
        <w:rPr>
          <w:sz w:val="28"/>
          <w:szCs w:val="28"/>
        </w:rPr>
        <w:t>Мероприятие (результат) 1. «</w:t>
      </w:r>
      <w:r w:rsidRPr="001621C1">
        <w:rPr>
          <w:sz w:val="28"/>
          <w:szCs w:val="28"/>
        </w:rPr>
        <w:t>Обеспечено предупреждение и пропаганда среди населения безопасности жизнедеятельности и обучение действиям при возникновении опасности на воде</w:t>
      </w:r>
      <w:r w:rsidRPr="00C319B0">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1621C1" w:rsidRPr="001621C1" w:rsidRDefault="001621C1" w:rsidP="001621C1">
      <w:pPr>
        <w:ind w:firstLine="567"/>
        <w:jc w:val="both"/>
        <w:rPr>
          <w:sz w:val="28"/>
          <w:szCs w:val="28"/>
        </w:rPr>
      </w:pPr>
      <w:r w:rsidRPr="001621C1">
        <w:rPr>
          <w:sz w:val="28"/>
          <w:szCs w:val="28"/>
        </w:rPr>
        <w:t>Утверждены Правила охраны жизни людей на водных объектах</w:t>
      </w:r>
      <w:r>
        <w:rPr>
          <w:sz w:val="28"/>
          <w:szCs w:val="28"/>
        </w:rPr>
        <w:t xml:space="preserve"> и </w:t>
      </w:r>
      <w:r w:rsidRPr="001621C1">
        <w:rPr>
          <w:sz w:val="28"/>
          <w:szCs w:val="28"/>
        </w:rPr>
        <w:t>проведены профилактические мероприятия и</w:t>
      </w:r>
      <w:r w:rsidRPr="001621C1">
        <w:rPr>
          <w:kern w:val="2"/>
          <w:sz w:val="28"/>
          <w:szCs w:val="28"/>
          <w:lang w:eastAsia="en-US"/>
        </w:rPr>
        <w:t xml:space="preserve"> </w:t>
      </w:r>
      <w:r w:rsidRPr="001621C1">
        <w:rPr>
          <w:sz w:val="28"/>
          <w:szCs w:val="28"/>
        </w:rPr>
        <w:t>беседы с совершеннолетними гражданами поселения о безопасности на воде</w:t>
      </w:r>
      <w:r>
        <w:rPr>
          <w:sz w:val="28"/>
          <w:szCs w:val="28"/>
        </w:rPr>
        <w:t>.</w:t>
      </w:r>
    </w:p>
    <w:p w:rsidR="00B517CE" w:rsidRPr="00C319B0" w:rsidRDefault="001621C1" w:rsidP="001621C1">
      <w:pPr>
        <w:ind w:firstLine="567"/>
        <w:jc w:val="both"/>
        <w:rPr>
          <w:i/>
          <w:sz w:val="2"/>
          <w:szCs w:val="2"/>
        </w:rPr>
      </w:pPr>
      <w:r w:rsidRPr="00C319B0">
        <w:rPr>
          <w:sz w:val="28"/>
          <w:szCs w:val="28"/>
        </w:rPr>
        <w:t>По комплексу процессных мероприятий «</w:t>
      </w:r>
      <w:r w:rsidRPr="001621C1">
        <w:rPr>
          <w:rFonts w:eastAsia="TimesNewRoman"/>
          <w:sz w:val="28"/>
          <w:szCs w:val="28"/>
        </w:rPr>
        <w:t>Обеспечение безопасности на воде</w:t>
      </w:r>
      <w:r w:rsidRPr="00C319B0">
        <w:rPr>
          <w:sz w:val="28"/>
          <w:szCs w:val="28"/>
        </w:rPr>
        <w:t>» предусмотрено выполнение</w:t>
      </w:r>
      <w:r>
        <w:rPr>
          <w:sz w:val="28"/>
          <w:szCs w:val="28"/>
        </w:rPr>
        <w:t xml:space="preserve"> 2</w:t>
      </w:r>
      <w:r w:rsidRPr="00C319B0">
        <w:rPr>
          <w:sz w:val="28"/>
          <w:szCs w:val="28"/>
        </w:rPr>
        <w:t xml:space="preserve"> контрольных точек, из них достигнуто в установленные сроки – </w:t>
      </w:r>
      <w:r>
        <w:rPr>
          <w:sz w:val="28"/>
          <w:szCs w:val="28"/>
        </w:rPr>
        <w:t>2</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r w:rsidR="00B517CE" w:rsidRPr="00C319B0">
        <w:rPr>
          <w:sz w:val="28"/>
          <w:szCs w:val="28"/>
        </w:rPr>
        <w:br/>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790E4C" w:rsidP="00790E4C">
      <w:pPr>
        <w:spacing w:after="160" w:line="259" w:lineRule="auto"/>
        <w:ind w:firstLine="567"/>
        <w:jc w:val="both"/>
        <w:rPr>
          <w:sz w:val="28"/>
          <w:szCs w:val="28"/>
        </w:rPr>
      </w:pPr>
      <w:r w:rsidRPr="00790E4C">
        <w:rPr>
          <w:sz w:val="28"/>
          <w:szCs w:val="28"/>
        </w:rPr>
        <w:lastRenderedPageBreak/>
        <w:t xml:space="preserve">расширение профилактической работы по предупреждению пожаров, проводимой специалистами Администрации в зонах своей ответственности с населением; </w:t>
      </w:r>
    </w:p>
    <w:p w:rsidR="00790E4C" w:rsidRDefault="00790E4C" w:rsidP="00790E4C">
      <w:pPr>
        <w:spacing w:after="160" w:line="259" w:lineRule="auto"/>
        <w:ind w:firstLine="567"/>
        <w:jc w:val="both"/>
        <w:rPr>
          <w:sz w:val="28"/>
          <w:szCs w:val="28"/>
        </w:rPr>
      </w:pPr>
      <w:r w:rsidRPr="00790E4C">
        <w:rPr>
          <w:sz w:val="28"/>
          <w:szCs w:val="28"/>
        </w:rPr>
        <w:t>организация профилактической работы специалистами Администрации с населением о соблюдении правил пожарной безопасности в быту, предупреждения пожаров и гибели людей на них.</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C062B0">
        <w:rPr>
          <w:sz w:val="28"/>
          <w:szCs w:val="28"/>
        </w:rPr>
        <w:t>33,2</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33,2</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C062B0">
        <w:rPr>
          <w:spacing w:val="-4"/>
          <w:sz w:val="28"/>
          <w:szCs w:val="28"/>
        </w:rPr>
        <w:t>33,2</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C062B0">
        <w:rPr>
          <w:spacing w:val="-4"/>
          <w:sz w:val="28"/>
          <w:szCs w:val="28"/>
        </w:rPr>
        <w:t>33,2</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33,2</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C062B0">
        <w:rPr>
          <w:sz w:val="28"/>
          <w:szCs w:val="28"/>
        </w:rPr>
        <w:t>32,4</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32,4</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C062B0">
        <w:rPr>
          <w:rFonts w:eastAsia="Calibri"/>
          <w:spacing w:val="-4"/>
          <w:sz w:val="28"/>
          <w:szCs w:val="28"/>
          <w:lang w:eastAsia="en-US"/>
        </w:rPr>
        <w:t>0,8</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39577E">
        <w:rPr>
          <w:sz w:val="28"/>
          <w:szCs w:val="28"/>
        </w:rPr>
        <w:t>7</w:t>
      </w:r>
      <w:r w:rsidRPr="00C319B0">
        <w:rPr>
          <w:sz w:val="28"/>
          <w:szCs w:val="28"/>
        </w:rPr>
        <w:t xml:space="preserve"> показател</w:t>
      </w:r>
      <w:r w:rsidR="00234F3D">
        <w:rPr>
          <w:sz w:val="28"/>
          <w:szCs w:val="28"/>
        </w:rPr>
        <w:t>ей</w:t>
      </w:r>
      <w:r w:rsidRPr="00C319B0">
        <w:rPr>
          <w:sz w:val="28"/>
          <w:szCs w:val="28"/>
        </w:rPr>
        <w:t xml:space="preserve">, по </w:t>
      </w:r>
      <w:r w:rsidR="0039577E">
        <w:rPr>
          <w:sz w:val="28"/>
          <w:szCs w:val="28"/>
        </w:rPr>
        <w:t>7</w:t>
      </w:r>
      <w:r w:rsidRPr="00C319B0">
        <w:rPr>
          <w:sz w:val="28"/>
          <w:szCs w:val="28"/>
        </w:rPr>
        <w:t xml:space="preserve"> из которых фактически </w:t>
      </w:r>
      <w:r w:rsidR="00851695">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234F3D" w:rsidRPr="00234F3D">
        <w:rPr>
          <w:sz w:val="28"/>
          <w:szCs w:val="28"/>
        </w:rPr>
        <w:t>Количество людей,  которым оказана помощь при пожарах, чрезвычайных ситуациях и происшествиях</w:t>
      </w:r>
      <w:r w:rsidRPr="00C319B0">
        <w:rPr>
          <w:sz w:val="28"/>
          <w:szCs w:val="28"/>
        </w:rPr>
        <w:t xml:space="preserve">» – </w:t>
      </w:r>
      <w:r w:rsidR="00234F3D">
        <w:rPr>
          <w:sz w:val="28"/>
        </w:rPr>
        <w:t>плановое значение – 0 человек, фактическое значение – 0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Pr="00234F3D">
        <w:rPr>
          <w:sz w:val="28"/>
          <w:szCs w:val="28"/>
        </w:rPr>
        <w:t>Количество профилактических мероприятий по предупреждению пожаров, чрезвычайных ситуаций и происшествий на водных объектах</w:t>
      </w:r>
      <w:r w:rsidRPr="00C319B0">
        <w:rPr>
          <w:sz w:val="28"/>
          <w:szCs w:val="28"/>
        </w:rPr>
        <w:t xml:space="preserve">» – </w:t>
      </w:r>
      <w:r>
        <w:rPr>
          <w:sz w:val="28"/>
        </w:rPr>
        <w:t>плановое значение – 5 человек, фактическое значение – 5 человек.</w:t>
      </w:r>
    </w:p>
    <w:p w:rsidR="00234F3D" w:rsidRDefault="00471C95" w:rsidP="00C062B0">
      <w:pPr>
        <w:ind w:firstLine="567"/>
        <w:jc w:val="both"/>
        <w:rPr>
          <w:sz w:val="28"/>
        </w:rPr>
      </w:pPr>
      <w:r>
        <w:rPr>
          <w:sz w:val="28"/>
          <w:szCs w:val="28"/>
        </w:rPr>
        <w:lastRenderedPageBreak/>
        <w:t xml:space="preserve">Показатель </w:t>
      </w:r>
      <w:r w:rsidRPr="00C319B0">
        <w:rPr>
          <w:sz w:val="28"/>
          <w:szCs w:val="28"/>
        </w:rPr>
        <w:t>«</w:t>
      </w:r>
      <w:r w:rsidR="00C062B0">
        <w:rPr>
          <w:sz w:val="28"/>
          <w:szCs w:val="28"/>
        </w:rPr>
        <w:t>Количество выездов пожарных и спасательных подразделений на пожары, чрезвычайные ситуации и происшествия</w:t>
      </w:r>
      <w:r w:rsidRPr="00C319B0">
        <w:rPr>
          <w:sz w:val="28"/>
          <w:szCs w:val="28"/>
        </w:rPr>
        <w:t xml:space="preserve">» – </w:t>
      </w:r>
      <w:r>
        <w:rPr>
          <w:sz w:val="28"/>
        </w:rPr>
        <w:t xml:space="preserve">плановое значение – </w:t>
      </w:r>
      <w:r w:rsidR="00C062B0">
        <w:rPr>
          <w:sz w:val="28"/>
        </w:rPr>
        <w:t>5</w:t>
      </w:r>
      <w:r>
        <w:rPr>
          <w:sz w:val="28"/>
        </w:rPr>
        <w:t xml:space="preserve"> </w:t>
      </w:r>
      <w:r w:rsidR="00C062B0">
        <w:rPr>
          <w:sz w:val="28"/>
        </w:rPr>
        <w:t>единиц</w:t>
      </w:r>
      <w:r>
        <w:rPr>
          <w:sz w:val="28"/>
        </w:rPr>
        <w:t xml:space="preserve">, фактическое значение – </w:t>
      </w:r>
      <w:r w:rsidR="00C062B0">
        <w:rPr>
          <w:sz w:val="28"/>
        </w:rPr>
        <w:t>0</w:t>
      </w:r>
      <w:r>
        <w:rPr>
          <w:sz w:val="28"/>
        </w:rPr>
        <w:t xml:space="preserve"> </w:t>
      </w:r>
      <w:r w:rsidR="00C062B0">
        <w:rPr>
          <w:sz w:val="28"/>
        </w:rPr>
        <w:t>единиц</w:t>
      </w:r>
      <w:r>
        <w:rPr>
          <w:sz w:val="28"/>
        </w:rPr>
        <w:t>.</w:t>
      </w:r>
    </w:p>
    <w:p w:rsidR="00C062B0" w:rsidRDefault="00C062B0" w:rsidP="00C062B0">
      <w:pPr>
        <w:ind w:firstLine="567"/>
        <w:jc w:val="both"/>
        <w:rPr>
          <w:sz w:val="28"/>
        </w:rPr>
      </w:pPr>
      <w:r>
        <w:rPr>
          <w:sz w:val="28"/>
        </w:rPr>
        <w:t>Показатель «Количество профилактических мероприятий по предупреждению пожаров»  плановое значение – 2 единиц, фактическое значение – 2 единиц.</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Pr="00234F3D">
        <w:rPr>
          <w:sz w:val="28"/>
          <w:szCs w:val="28"/>
        </w:rPr>
        <w:t>Охват населения оповещаемого системой оповещ</w:t>
      </w:r>
      <w:r>
        <w:rPr>
          <w:sz w:val="28"/>
          <w:szCs w:val="28"/>
        </w:rPr>
        <w:t>ения, предупре</w:t>
      </w:r>
      <w:r w:rsidRPr="00234F3D">
        <w:rPr>
          <w:sz w:val="28"/>
          <w:szCs w:val="28"/>
        </w:rPr>
        <w:t xml:space="preserve">ждения и ликвидации чрезвычайных ситуаций </w:t>
      </w:r>
      <w:r w:rsidR="006E7986">
        <w:rPr>
          <w:sz w:val="28"/>
          <w:szCs w:val="28"/>
        </w:rPr>
        <w:t>Барабанщиковск</w:t>
      </w:r>
      <w:r w:rsidRPr="00234F3D">
        <w:rPr>
          <w:sz w:val="28"/>
          <w:szCs w:val="28"/>
        </w:rPr>
        <w:t>ого сельского поселения</w:t>
      </w:r>
      <w:r w:rsidRPr="00C319B0">
        <w:rPr>
          <w:sz w:val="28"/>
          <w:szCs w:val="28"/>
        </w:rPr>
        <w:t xml:space="preserve">» – </w:t>
      </w:r>
      <w:r>
        <w:rPr>
          <w:sz w:val="28"/>
        </w:rPr>
        <w:t xml:space="preserve">плановое значение – </w:t>
      </w:r>
      <w:r w:rsidR="00C062B0">
        <w:rPr>
          <w:sz w:val="28"/>
        </w:rPr>
        <w:t>680</w:t>
      </w:r>
      <w:r>
        <w:rPr>
          <w:sz w:val="28"/>
        </w:rPr>
        <w:t xml:space="preserve"> человек, фактическое значение </w:t>
      </w:r>
      <w:r w:rsidR="00C062B0">
        <w:rPr>
          <w:sz w:val="28"/>
        </w:rPr>
        <w:t>680</w:t>
      </w:r>
      <w:r>
        <w:rPr>
          <w:sz w:val="28"/>
        </w:rPr>
        <w:t xml:space="preserve"> человек.</w:t>
      </w:r>
    </w:p>
    <w:p w:rsidR="0039577E" w:rsidRDefault="0039577E" w:rsidP="0039577E">
      <w:pPr>
        <w:ind w:firstLine="567"/>
        <w:jc w:val="both"/>
        <w:rPr>
          <w:sz w:val="28"/>
        </w:rPr>
      </w:pPr>
      <w:r>
        <w:rPr>
          <w:sz w:val="28"/>
        </w:rPr>
        <w:t>Показатель «Предупреждение и ликвидация чрезвычайных ситуаций и пропаганда среди населения безопасности жизнедеятельности»»  плановое значение – 2 единиц, фактическое значение – 2 единиц.</w:t>
      </w:r>
    </w:p>
    <w:p w:rsidR="00234F3D" w:rsidRDefault="00234F3D" w:rsidP="00234F3D">
      <w:pPr>
        <w:ind w:firstLine="567"/>
        <w:jc w:val="both"/>
        <w:rPr>
          <w:sz w:val="28"/>
          <w:szCs w:val="28"/>
        </w:rPr>
      </w:pPr>
      <w:r>
        <w:rPr>
          <w:sz w:val="28"/>
          <w:szCs w:val="28"/>
        </w:rPr>
        <w:t xml:space="preserve">Показатель </w:t>
      </w:r>
      <w:r w:rsidRPr="00C319B0">
        <w:rPr>
          <w:sz w:val="28"/>
          <w:szCs w:val="28"/>
        </w:rPr>
        <w:t>«</w:t>
      </w:r>
      <w:r w:rsidRPr="00234F3D">
        <w:rPr>
          <w:sz w:val="28"/>
          <w:szCs w:val="28"/>
        </w:rPr>
        <w:t>Количество лекций и бесед, проведенных среди населения о безопасности жизнедеятельности и обучение действиям при возникновении опасности на воде</w:t>
      </w:r>
      <w:r w:rsidRPr="00C319B0">
        <w:rPr>
          <w:sz w:val="28"/>
          <w:szCs w:val="28"/>
        </w:rPr>
        <w:t xml:space="preserve">» – </w:t>
      </w:r>
      <w:r>
        <w:rPr>
          <w:sz w:val="28"/>
        </w:rPr>
        <w:t xml:space="preserve">плановое значение – 5 </w:t>
      </w:r>
      <w:r w:rsidR="00471C95">
        <w:rPr>
          <w:sz w:val="28"/>
        </w:rPr>
        <w:t>единиц</w:t>
      </w:r>
      <w:r>
        <w:rPr>
          <w:sz w:val="28"/>
        </w:rPr>
        <w:t xml:space="preserve">, фактическое значение – 5 </w:t>
      </w:r>
      <w:r w:rsidR="00471C95">
        <w:rPr>
          <w:sz w:val="28"/>
        </w:rPr>
        <w:t>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1A64B5" w:rsidRDefault="00B517CE" w:rsidP="00B517CE">
      <w:pPr>
        <w:jc w:val="center"/>
        <w:rPr>
          <w:sz w:val="28"/>
          <w:szCs w:val="28"/>
        </w:rPr>
      </w:pPr>
      <w:r w:rsidRPr="001A64B5">
        <w:rPr>
          <w:sz w:val="28"/>
          <w:szCs w:val="28"/>
        </w:rPr>
        <w:t xml:space="preserve">Раздел </w:t>
      </w:r>
      <w:r w:rsidR="00790E4C" w:rsidRPr="001A64B5">
        <w:rPr>
          <w:sz w:val="28"/>
          <w:szCs w:val="28"/>
        </w:rPr>
        <w:t>6</w:t>
      </w:r>
      <w:r w:rsidRPr="001A64B5">
        <w:rPr>
          <w:sz w:val="28"/>
          <w:szCs w:val="28"/>
        </w:rPr>
        <w:t xml:space="preserve">. Результаты оценки </w:t>
      </w:r>
      <w:r w:rsidRPr="001A64B5">
        <w:rPr>
          <w:sz w:val="28"/>
          <w:szCs w:val="28"/>
        </w:rPr>
        <w:br/>
        <w:t>эффективности реализации муниципальной программы</w:t>
      </w:r>
    </w:p>
    <w:p w:rsidR="00B517CE" w:rsidRPr="001A64B5" w:rsidRDefault="00B517CE" w:rsidP="00B517CE">
      <w:pPr>
        <w:tabs>
          <w:tab w:val="left" w:pos="1276"/>
        </w:tabs>
        <w:jc w:val="both"/>
        <w:rPr>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1A64B5" w:rsidRDefault="009304A4" w:rsidP="009304A4">
      <w:pPr>
        <w:spacing w:line="252" w:lineRule="auto"/>
        <w:ind w:firstLine="709"/>
        <w:jc w:val="both"/>
        <w:rPr>
          <w:b/>
          <w:sz w:val="28"/>
        </w:rPr>
      </w:pPr>
      <w:r w:rsidRPr="001A64B5">
        <w:rPr>
          <w:sz w:val="28"/>
        </w:rPr>
        <w:lastRenderedPageBreak/>
        <w:t xml:space="preserve">Уровень достижения показателей </w:t>
      </w:r>
      <w:r w:rsidRPr="001A64B5">
        <w:rPr>
          <w:sz w:val="28"/>
          <w:szCs w:val="28"/>
          <w:lang w:eastAsia="en-US"/>
        </w:rPr>
        <w:t>муниципаль</w:t>
      </w:r>
      <w:r w:rsidRPr="001A64B5">
        <w:rPr>
          <w:sz w:val="28"/>
        </w:rPr>
        <w:t>ной программы (УД</w:t>
      </w:r>
      <w:r w:rsidRPr="001A64B5">
        <w:rPr>
          <w:sz w:val="28"/>
          <w:vertAlign w:val="subscript"/>
        </w:rPr>
        <w:t>п</w:t>
      </w:r>
      <w:r w:rsidRPr="001A64B5">
        <w:rPr>
          <w:sz w:val="28"/>
        </w:rPr>
        <w:t xml:space="preserve">) за 2025 год по составляет </w:t>
      </w:r>
      <w:r w:rsidR="00C9397B">
        <w:rPr>
          <w:sz w:val="28"/>
        </w:rPr>
        <w:t>50</w:t>
      </w:r>
      <w:r w:rsidR="00955906" w:rsidRPr="001A64B5">
        <w:rPr>
          <w:sz w:val="28"/>
        </w:rPr>
        <w:t xml:space="preserve">, </w:t>
      </w:r>
      <w:r w:rsidRPr="001A64B5">
        <w:rPr>
          <w:sz w:val="28"/>
        </w:rPr>
        <w:t xml:space="preserve"> (100 + </w:t>
      </w:r>
      <w:r w:rsidR="00C9397B">
        <w:rPr>
          <w:sz w:val="28"/>
        </w:rPr>
        <w:t>0</w:t>
      </w:r>
      <w:r w:rsidRPr="001A64B5">
        <w:rPr>
          <w:sz w:val="28"/>
        </w:rPr>
        <w:t>) /</w:t>
      </w:r>
      <w:r w:rsidR="001B317B" w:rsidRPr="001A64B5">
        <w:rPr>
          <w:sz w:val="28"/>
        </w:rPr>
        <w:t>2</w:t>
      </w:r>
      <w:r w:rsidR="00955906" w:rsidRPr="001A64B5">
        <w:rPr>
          <w:sz w:val="28"/>
        </w:rPr>
        <w:t>=</w:t>
      </w:r>
      <w:r w:rsidR="00C9397B">
        <w:rPr>
          <w:sz w:val="28"/>
        </w:rPr>
        <w:t>50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структурных элементов </w:t>
      </w:r>
      <w:r w:rsidRPr="001A64B5">
        <w:rPr>
          <w:sz w:val="28"/>
          <w:szCs w:val="28"/>
          <w:lang w:eastAsia="en-US"/>
        </w:rPr>
        <w:t>муниципаль</w:t>
      </w:r>
      <w:r w:rsidRPr="001A64B5">
        <w:rPr>
          <w:sz w:val="28"/>
        </w:rPr>
        <w:t>ной программы (УД</w:t>
      </w:r>
      <w:r w:rsidRPr="001A64B5">
        <w:rPr>
          <w:sz w:val="28"/>
          <w:vertAlign w:val="subscript"/>
        </w:rPr>
        <w:t>стр.эл.</w:t>
      </w:r>
      <w:r w:rsidRPr="001A64B5">
        <w:rPr>
          <w:sz w:val="28"/>
        </w:rPr>
        <w:t xml:space="preserve">) за 2025 год составляет </w:t>
      </w:r>
      <w:r w:rsidR="00C9397B">
        <w:rPr>
          <w:sz w:val="28"/>
        </w:rPr>
        <w:t>80</w:t>
      </w:r>
      <w:r w:rsidR="00955906" w:rsidRPr="001A64B5">
        <w:rPr>
          <w:sz w:val="28"/>
        </w:rPr>
        <w:t>,</w:t>
      </w:r>
      <w:r w:rsidRPr="001A64B5">
        <w:rPr>
          <w:sz w:val="28"/>
        </w:rPr>
        <w:t xml:space="preserve"> (100 + 100+100</w:t>
      </w:r>
      <w:r w:rsidR="001A64B5">
        <w:rPr>
          <w:sz w:val="28"/>
        </w:rPr>
        <w:t>+100+</w:t>
      </w:r>
      <w:r w:rsidR="00C9397B">
        <w:rPr>
          <w:sz w:val="28"/>
        </w:rPr>
        <w:t>0</w:t>
      </w:r>
      <w:r w:rsidRPr="001A64B5">
        <w:rPr>
          <w:sz w:val="28"/>
        </w:rPr>
        <w:t>) /</w:t>
      </w:r>
      <w:r w:rsidR="001A64B5">
        <w:rPr>
          <w:sz w:val="28"/>
        </w:rPr>
        <w:t>5</w:t>
      </w:r>
      <w:r w:rsidR="00955906" w:rsidRPr="001A64B5">
        <w:rPr>
          <w:sz w:val="28"/>
        </w:rPr>
        <w:t>=</w:t>
      </w:r>
      <w:r w:rsidR="00C9397B">
        <w:rPr>
          <w:sz w:val="28"/>
        </w:rPr>
        <w:t>80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w:t>
      </w:r>
      <w:r w:rsidRPr="001A64B5">
        <w:rPr>
          <w:sz w:val="28"/>
          <w:szCs w:val="28"/>
          <w:lang w:eastAsia="en-US"/>
        </w:rPr>
        <w:t>муниципаль</w:t>
      </w:r>
      <w:r w:rsidRPr="001A64B5">
        <w:rPr>
          <w:sz w:val="28"/>
        </w:rPr>
        <w:t>ной программы (УД</w:t>
      </w:r>
      <w:r w:rsidRPr="001A64B5">
        <w:rPr>
          <w:sz w:val="28"/>
          <w:vertAlign w:val="subscript"/>
        </w:rPr>
        <w:t>гп</w:t>
      </w:r>
      <w:r w:rsidRPr="001A64B5">
        <w:rPr>
          <w:sz w:val="28"/>
        </w:rPr>
        <w:t xml:space="preserve">) за 2025 год составляет </w:t>
      </w:r>
      <w:r w:rsidR="00C9397B">
        <w:rPr>
          <w:sz w:val="28"/>
        </w:rPr>
        <w:t>65</w:t>
      </w:r>
      <w:r w:rsidR="00955906" w:rsidRPr="001A64B5">
        <w:rPr>
          <w:sz w:val="28"/>
        </w:rPr>
        <w:t>,</w:t>
      </w:r>
      <w:r w:rsidRPr="001A64B5">
        <w:rPr>
          <w:sz w:val="28"/>
        </w:rPr>
        <w:t xml:space="preserve"> (0,5 х </w:t>
      </w:r>
      <w:r w:rsidR="00C9397B">
        <w:rPr>
          <w:sz w:val="28"/>
        </w:rPr>
        <w:t>50</w:t>
      </w:r>
      <w:r w:rsidRPr="001A64B5">
        <w:rPr>
          <w:sz w:val="28"/>
        </w:rPr>
        <w:t xml:space="preserve"> + 0,5 х </w:t>
      </w:r>
      <w:r w:rsidR="00C9397B">
        <w:rPr>
          <w:sz w:val="28"/>
        </w:rPr>
        <w:t>80</w:t>
      </w:r>
      <w:r w:rsidRPr="001A64B5">
        <w:rPr>
          <w:sz w:val="28"/>
        </w:rPr>
        <w:t xml:space="preserve"> </w:t>
      </w:r>
      <w:r w:rsidR="00955906" w:rsidRPr="001A64B5">
        <w:rPr>
          <w:sz w:val="28"/>
        </w:rPr>
        <w:t>)=</w:t>
      </w:r>
      <w:r w:rsidR="00C9397B">
        <w:rPr>
          <w:sz w:val="28"/>
        </w:rPr>
        <w:t>65</w:t>
      </w:r>
      <w:r w:rsidR="00955906" w:rsidRPr="001A64B5">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1A64B5" w:rsidRDefault="00B517CE" w:rsidP="001B317B">
      <w:pPr>
        <w:spacing w:line="252" w:lineRule="auto"/>
        <w:ind w:firstLine="709"/>
        <w:rPr>
          <w:sz w:val="28"/>
        </w:rPr>
      </w:pPr>
      <w:r w:rsidRPr="001A64B5">
        <w:rPr>
          <w:b/>
          <w:sz w:val="28"/>
          <w:szCs w:val="28"/>
        </w:rPr>
        <w:tab/>
      </w:r>
      <w:r w:rsidR="009304A4" w:rsidRPr="001A64B5">
        <w:rPr>
          <w:sz w:val="28"/>
        </w:rPr>
        <w:t xml:space="preserve">Оценка динамики прироста значений показателей уровня </w:t>
      </w:r>
      <w:r w:rsidR="009304A4" w:rsidRPr="001A64B5">
        <w:rPr>
          <w:sz w:val="28"/>
          <w:szCs w:val="28"/>
          <w:lang w:eastAsia="en-US"/>
        </w:rPr>
        <w:t>муниципаль</w:t>
      </w:r>
      <w:r w:rsidR="009304A4" w:rsidRPr="001A64B5">
        <w:rPr>
          <w:sz w:val="28"/>
        </w:rPr>
        <w:t>ной программы (ОП</w:t>
      </w:r>
      <w:r w:rsidR="009304A4" w:rsidRPr="001A64B5">
        <w:rPr>
          <w:sz w:val="28"/>
          <w:vertAlign w:val="subscript"/>
        </w:rPr>
        <w:t>пМП</w:t>
      </w:r>
      <w:r w:rsidR="009304A4" w:rsidRPr="001A64B5">
        <w:rPr>
          <w:sz w:val="28"/>
        </w:rPr>
        <w:t>) за 2025 год составляет 100</w:t>
      </w:r>
      <w:r w:rsidR="00955906" w:rsidRPr="001A64B5">
        <w:rPr>
          <w:sz w:val="28"/>
        </w:rPr>
        <w:t>,</w:t>
      </w:r>
      <w:r w:rsidR="001B317B" w:rsidRPr="001A64B5">
        <w:rPr>
          <w:sz w:val="28"/>
        </w:rPr>
        <w:t xml:space="preserve"> (100 + </w:t>
      </w:r>
      <w:r w:rsidR="001A64B5">
        <w:rPr>
          <w:sz w:val="28"/>
        </w:rPr>
        <w:t>0</w:t>
      </w:r>
      <w:r w:rsidR="001B317B" w:rsidRPr="001A64B5">
        <w:rPr>
          <w:sz w:val="28"/>
        </w:rPr>
        <w:t>)</w:t>
      </w:r>
      <w:r w:rsidR="009304A4" w:rsidRPr="001A64B5">
        <w:rPr>
          <w:sz w:val="28"/>
        </w:rPr>
        <w:t>/</w:t>
      </w:r>
      <w:r w:rsidR="001B317B" w:rsidRPr="001A64B5">
        <w:rPr>
          <w:sz w:val="28"/>
        </w:rPr>
        <w:t>2</w:t>
      </w:r>
      <w:r w:rsidR="009304A4" w:rsidRPr="001A64B5">
        <w:rPr>
          <w:sz w:val="28"/>
        </w:rPr>
        <w:t xml:space="preserve"> </w:t>
      </w:r>
      <w:r w:rsidR="00955906" w:rsidRPr="001A64B5">
        <w:rPr>
          <w:sz w:val="28"/>
        </w:rPr>
        <w:t>=</w:t>
      </w:r>
      <w:r w:rsidR="001A64B5">
        <w:rPr>
          <w:sz w:val="28"/>
        </w:rPr>
        <w:t>50</w:t>
      </w:r>
    </w:p>
    <w:p w:rsidR="009304A4" w:rsidRPr="001A64B5" w:rsidRDefault="009304A4" w:rsidP="009304A4">
      <w:pPr>
        <w:spacing w:line="252" w:lineRule="auto"/>
        <w:ind w:firstLine="709"/>
        <w:jc w:val="both"/>
        <w:rPr>
          <w:sz w:val="28"/>
        </w:rPr>
      </w:pPr>
      <w:r w:rsidRPr="001A64B5">
        <w:rPr>
          <w:sz w:val="28"/>
        </w:rPr>
        <w:t xml:space="preserve">Оценка динамики прироста значений показателей уровня структурных элементов </w:t>
      </w:r>
      <w:r w:rsidRPr="001A64B5">
        <w:rPr>
          <w:sz w:val="28"/>
          <w:szCs w:val="28"/>
          <w:lang w:eastAsia="en-US"/>
        </w:rPr>
        <w:t>муниципаль</w:t>
      </w:r>
      <w:r w:rsidRPr="001A64B5">
        <w:rPr>
          <w:sz w:val="28"/>
        </w:rPr>
        <w:t>ной программы (ОП</w:t>
      </w:r>
      <w:r w:rsidRPr="001A64B5">
        <w:rPr>
          <w:sz w:val="28"/>
          <w:vertAlign w:val="subscript"/>
        </w:rPr>
        <w:t>пСЭ</w:t>
      </w:r>
      <w:r w:rsidRPr="001A64B5">
        <w:rPr>
          <w:sz w:val="28"/>
        </w:rPr>
        <w:t>) за 202</w:t>
      </w:r>
      <w:r w:rsidR="001B317B" w:rsidRPr="001A64B5">
        <w:rPr>
          <w:sz w:val="28"/>
        </w:rPr>
        <w:t>5</w:t>
      </w:r>
      <w:r w:rsidRPr="001A64B5">
        <w:rPr>
          <w:sz w:val="28"/>
        </w:rPr>
        <w:t xml:space="preserve"> год составляет </w:t>
      </w:r>
      <w:r w:rsidR="00955906" w:rsidRPr="001A64B5">
        <w:rPr>
          <w:sz w:val="28"/>
        </w:rPr>
        <w:t>100,</w:t>
      </w:r>
      <w:r w:rsidRPr="001A64B5">
        <w:br/>
      </w:r>
      <w:r w:rsidR="001B317B" w:rsidRPr="001A64B5">
        <w:rPr>
          <w:sz w:val="28"/>
        </w:rPr>
        <w:t xml:space="preserve"> (100 + 100+100</w:t>
      </w:r>
      <w:r w:rsidR="001A64B5">
        <w:rPr>
          <w:sz w:val="28"/>
        </w:rPr>
        <w:t>+100</w:t>
      </w:r>
      <w:r w:rsidR="001B317B" w:rsidRPr="001A64B5">
        <w:rPr>
          <w:sz w:val="28"/>
        </w:rPr>
        <w:t>) /</w:t>
      </w:r>
      <w:r w:rsidR="001A64B5">
        <w:rPr>
          <w:sz w:val="28"/>
        </w:rPr>
        <w:t>5</w:t>
      </w:r>
      <w:r w:rsidR="00955906" w:rsidRPr="001A64B5">
        <w:rPr>
          <w:sz w:val="28"/>
        </w:rPr>
        <w:t xml:space="preserve">= </w:t>
      </w:r>
      <w:r w:rsidR="001A64B5">
        <w:rPr>
          <w:sz w:val="28"/>
        </w:rPr>
        <w:t>80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Оценка динамики прироста значений показателей (ОП</w:t>
      </w:r>
      <w:r w:rsidRPr="001A64B5">
        <w:rPr>
          <w:sz w:val="28"/>
          <w:vertAlign w:val="subscript"/>
        </w:rPr>
        <w:t>гп</w:t>
      </w:r>
      <w:r w:rsidRPr="001A64B5">
        <w:rPr>
          <w:sz w:val="28"/>
        </w:rPr>
        <w:t>) за 202</w:t>
      </w:r>
      <w:r w:rsidR="00955906" w:rsidRPr="001A64B5">
        <w:rPr>
          <w:sz w:val="28"/>
        </w:rPr>
        <w:t>5</w:t>
      </w:r>
      <w:r w:rsidRPr="001A64B5">
        <w:rPr>
          <w:sz w:val="28"/>
        </w:rPr>
        <w:t xml:space="preserve"> год составляет </w:t>
      </w:r>
      <w:r w:rsidR="00955906" w:rsidRPr="001A64B5">
        <w:rPr>
          <w:sz w:val="28"/>
        </w:rPr>
        <w:t>100,</w:t>
      </w:r>
      <w:r w:rsidRPr="001A64B5">
        <w:rPr>
          <w:sz w:val="28"/>
        </w:rPr>
        <w:t xml:space="preserve"> (0,7 х </w:t>
      </w:r>
      <w:r w:rsidR="001A64B5">
        <w:rPr>
          <w:sz w:val="28"/>
        </w:rPr>
        <w:t>50</w:t>
      </w:r>
      <w:r w:rsidRPr="001A64B5">
        <w:rPr>
          <w:sz w:val="28"/>
        </w:rPr>
        <w:t xml:space="preserve"> + 0,3 х </w:t>
      </w:r>
      <w:r w:rsidR="001A64B5">
        <w:rPr>
          <w:sz w:val="28"/>
        </w:rPr>
        <w:t>80</w:t>
      </w:r>
      <w:r w:rsidRPr="001A64B5">
        <w:rPr>
          <w:sz w:val="28"/>
        </w:rPr>
        <w:t xml:space="preserve"> = </w:t>
      </w:r>
      <w:r w:rsidR="001A64B5">
        <w:rPr>
          <w:sz w:val="28"/>
        </w:rPr>
        <w:t>59</w:t>
      </w:r>
      <w:r w:rsidRPr="001A64B5">
        <w:rPr>
          <w:sz w:val="28"/>
        </w:rPr>
        <w:t>).</w:t>
      </w:r>
    </w:p>
    <w:p w:rsidR="00B517CE" w:rsidRPr="00A46CC6"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462745"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462745"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A46CC6" w:rsidRPr="00A46CC6">
        <w:rPr>
          <w:sz w:val="28"/>
        </w:rPr>
        <w:t>97,6</w:t>
      </w:r>
      <w:r w:rsidRPr="00A46CC6">
        <w:rPr>
          <w:sz w:val="28"/>
        </w:rPr>
        <w:t xml:space="preserve"> (</w:t>
      </w:r>
      <w:r w:rsidR="00A46CC6" w:rsidRPr="00A46CC6">
        <w:rPr>
          <w:sz w:val="28"/>
        </w:rPr>
        <w:t>33,2</w:t>
      </w:r>
      <w:r w:rsidR="00955906" w:rsidRPr="00A46CC6">
        <w:rPr>
          <w:sz w:val="28"/>
        </w:rPr>
        <w:t>/</w:t>
      </w:r>
      <w:r w:rsidR="00A46CC6" w:rsidRPr="00A46CC6">
        <w:rPr>
          <w:sz w:val="28"/>
        </w:rPr>
        <w:t>32,4</w:t>
      </w:r>
      <w:r w:rsidRPr="00A46CC6">
        <w:rPr>
          <w:sz w:val="28"/>
        </w:rPr>
        <w:t>)</w:t>
      </w:r>
      <w:r w:rsidR="00A46CC6" w:rsidRPr="00A46CC6">
        <w:rPr>
          <w:sz w:val="28"/>
        </w:rPr>
        <w:t>*100=97,6</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lastRenderedPageBreak/>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1A64B5">
        <w:rPr>
          <w:sz w:val="28"/>
        </w:rPr>
        <w:t>О</w:t>
      </w:r>
      <w:r w:rsidR="00A734D2" w:rsidRPr="001A64B5">
        <w:rPr>
          <w:sz w:val="28"/>
        </w:rPr>
        <w:t xml:space="preserve">ценка хода реализации и эффективности </w:t>
      </w:r>
      <w:r w:rsidR="00A734D2" w:rsidRPr="001A64B5">
        <w:br/>
      </w:r>
      <w:r w:rsidR="00A734D2" w:rsidRPr="001A64B5">
        <w:rPr>
          <w:sz w:val="28"/>
        </w:rPr>
        <w:t>государственной программы за 202</w:t>
      </w:r>
      <w:r w:rsidRPr="001A64B5">
        <w:rPr>
          <w:sz w:val="28"/>
        </w:rPr>
        <w:t>5</w:t>
      </w:r>
      <w:r w:rsidR="00A734D2" w:rsidRPr="001A64B5">
        <w:rPr>
          <w:sz w:val="28"/>
        </w:rPr>
        <w:t xml:space="preserve"> год составляет </w:t>
      </w:r>
      <w:r w:rsidR="00C9397B">
        <w:rPr>
          <w:sz w:val="28"/>
        </w:rPr>
        <w:t>67,66</w:t>
      </w:r>
      <w:r w:rsidR="00A734D2" w:rsidRPr="001A64B5">
        <w:rPr>
          <w:sz w:val="28"/>
        </w:rPr>
        <w:t xml:space="preserve"> </w:t>
      </w:r>
      <w:r w:rsidR="00A734D2" w:rsidRPr="001A64B5">
        <w:br/>
      </w:r>
      <w:r w:rsidR="00A734D2" w:rsidRPr="001A64B5">
        <w:rPr>
          <w:sz w:val="28"/>
        </w:rPr>
        <w:t xml:space="preserve">(0,8 х </w:t>
      </w:r>
      <w:r w:rsidR="00C9397B">
        <w:rPr>
          <w:sz w:val="28"/>
        </w:rPr>
        <w:t>65</w:t>
      </w:r>
      <w:r w:rsidR="00A734D2" w:rsidRPr="001A64B5">
        <w:rPr>
          <w:sz w:val="28"/>
        </w:rPr>
        <w:t xml:space="preserve"> + 0,1 х </w:t>
      </w:r>
      <w:r w:rsidR="001A64B5">
        <w:rPr>
          <w:sz w:val="28"/>
        </w:rPr>
        <w:t>59</w:t>
      </w:r>
      <w:r w:rsidR="00A734D2" w:rsidRPr="001A64B5">
        <w:rPr>
          <w:sz w:val="28"/>
        </w:rPr>
        <w:t xml:space="preserve"> + 0,1 х </w:t>
      </w:r>
      <w:r w:rsidR="00A46CC6" w:rsidRPr="001A64B5">
        <w:rPr>
          <w:sz w:val="28"/>
        </w:rPr>
        <w:t>97,6</w:t>
      </w:r>
      <w:r w:rsidR="00A734D2" w:rsidRPr="001A64B5">
        <w:rPr>
          <w:sz w:val="28"/>
        </w:rPr>
        <w:t xml:space="preserve">) = </w:t>
      </w:r>
      <w:r w:rsidR="00C9397B">
        <w:rPr>
          <w:sz w:val="28"/>
        </w:rPr>
        <w:t>67,66</w:t>
      </w:r>
      <w:r w:rsidR="00A734D2" w:rsidRPr="001A64B5">
        <w:rPr>
          <w:sz w:val="28"/>
        </w:rPr>
        <w:t xml:space="preserve"> в связи с чем реализация государственной программы признается эффективной с категорией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A46CC6" w:rsidRPr="001A64B5">
        <w:rPr>
          <w:sz w:val="28"/>
        </w:rPr>
        <w:t>32,4</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«Защита населения и территории от чрезвычайных ситуаций, обеспечение пожарной</w:t>
      </w:r>
      <w:r w:rsidRPr="000E03AA">
        <w:rPr>
          <w:kern w:val="2"/>
          <w:sz w:val="28"/>
          <w:szCs w:val="28"/>
        </w:rPr>
        <w:t xml:space="preserve"> безопасности и безопасности людей на водных объектах</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2847"/>
        <w:gridCol w:w="1789"/>
      </w:tblGrid>
      <w:tr w:rsidR="00B517CE" w:rsidRPr="00787DC6" w:rsidTr="00A46CC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A46CC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A46CC6">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217"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«Пожарная безопасность»</w:t>
            </w:r>
          </w:p>
        </w:tc>
      </w:tr>
      <w:tr w:rsidR="00471C95"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471C95" w:rsidP="0039577E">
            <w:pPr>
              <w:widowControl w:val="0"/>
              <w:autoSpaceDE w:val="0"/>
              <w:autoSpaceDN w:val="0"/>
              <w:adjustRightInd w:val="0"/>
              <w:rPr>
                <w:rFonts w:eastAsia="Calibri"/>
                <w:sz w:val="24"/>
                <w:szCs w:val="24"/>
                <w:lang w:eastAsia="en-US"/>
              </w:rPr>
            </w:pPr>
            <w:r w:rsidRPr="00086D70">
              <w:rPr>
                <w:sz w:val="24"/>
                <w:szCs w:val="24"/>
              </w:rPr>
              <w:t xml:space="preserve">Мероприятие (результат) </w:t>
            </w:r>
            <w:r>
              <w:rPr>
                <w:sz w:val="24"/>
                <w:szCs w:val="24"/>
              </w:rPr>
              <w:t xml:space="preserve">1 </w:t>
            </w:r>
            <w:r w:rsidRPr="00086D70">
              <w:rPr>
                <w:sz w:val="24"/>
                <w:szCs w:val="24"/>
              </w:rPr>
              <w:t>«</w:t>
            </w:r>
            <w:r w:rsidR="0039577E">
              <w:rPr>
                <w:sz w:val="24"/>
                <w:szCs w:val="24"/>
              </w:rPr>
              <w:t>Противопожарные мероприятия</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0D4F8C"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471C95" w:rsidP="000D4F8C">
            <w:pPr>
              <w:jc w:val="center"/>
              <w:rPr>
                <w:sz w:val="24"/>
                <w:szCs w:val="24"/>
              </w:rPr>
            </w:pPr>
            <w:r w:rsidRPr="00AE6357">
              <w:rPr>
                <w:sz w:val="24"/>
                <w:szCs w:val="24"/>
              </w:rPr>
              <w:t>30.12.202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39577E" w:rsidRPr="0039577E" w:rsidRDefault="0039577E" w:rsidP="0039577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471C95" w:rsidRPr="0039577E" w:rsidRDefault="0039577E" w:rsidP="0039577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9577E"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39577E" w:rsidRPr="001E4AF9" w:rsidRDefault="0039577E" w:rsidP="001E4AF9">
            <w:pPr>
              <w:widowControl w:val="0"/>
              <w:tabs>
                <w:tab w:val="left" w:pos="11057"/>
              </w:tabs>
              <w:rPr>
                <w:sz w:val="24"/>
                <w:szCs w:val="24"/>
                <w:highlight w:val="yellow"/>
              </w:rPr>
            </w:pPr>
            <w:r w:rsidRPr="001E4AF9">
              <w:rPr>
                <w:sz w:val="24"/>
                <w:szCs w:val="24"/>
              </w:rPr>
              <w:t>Контрольная точка 1.1. Заключен договор по страхованию членов Добровольной пожарной дружины</w:t>
            </w:r>
            <w:r w:rsidR="001E4AF9" w:rsidRPr="001E4AF9">
              <w:rPr>
                <w:sz w:val="24"/>
                <w:szCs w:val="24"/>
              </w:rPr>
              <w:t xml:space="preserve">, по огнезащ.обработка </w:t>
            </w:r>
            <w:r w:rsidR="001E4AF9" w:rsidRPr="001E4AF9">
              <w:rPr>
                <w:sz w:val="24"/>
                <w:szCs w:val="24"/>
              </w:rPr>
              <w:lastRenderedPageBreak/>
              <w:t>дерев.конст.мансард и элем.кровли здания Адм. и перезарядку огнетушителей</w:t>
            </w:r>
          </w:p>
        </w:tc>
        <w:tc>
          <w:tcPr>
            <w:tcW w:w="1640" w:type="dxa"/>
            <w:tcBorders>
              <w:top w:val="single" w:sz="4" w:space="0" w:color="auto"/>
              <w:left w:val="single" w:sz="4" w:space="0" w:color="auto"/>
              <w:bottom w:val="single" w:sz="4" w:space="0" w:color="auto"/>
              <w:right w:val="single" w:sz="4" w:space="0" w:color="auto"/>
            </w:tcBorders>
          </w:tcPr>
          <w:p w:rsidR="0039577E"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20</w:t>
            </w:r>
            <w:r w:rsidR="0039577E">
              <w:rPr>
                <w:rFonts w:eastAsia="Calibri"/>
                <w:sz w:val="24"/>
                <w:szCs w:val="24"/>
                <w:lang w:eastAsia="en-US"/>
              </w:rPr>
              <w:t>.0</w:t>
            </w:r>
            <w:r>
              <w:rPr>
                <w:rFonts w:eastAsia="Calibri"/>
                <w:sz w:val="24"/>
                <w:szCs w:val="24"/>
                <w:lang w:eastAsia="en-US"/>
              </w:rPr>
              <w:t>3</w:t>
            </w:r>
            <w:r w:rsidR="0039577E">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39577E" w:rsidRPr="00787DC6" w:rsidRDefault="0039577E"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001E4AF9">
              <w:rPr>
                <w:rFonts w:eastAsia="Calibri"/>
                <w:sz w:val="24"/>
                <w:szCs w:val="24"/>
                <w:lang w:eastAsia="en-US"/>
              </w:rPr>
              <w:t>8</w:t>
            </w:r>
            <w:r>
              <w:rPr>
                <w:rFonts w:eastAsia="Calibri"/>
                <w:sz w:val="24"/>
                <w:szCs w:val="24"/>
                <w:lang w:eastAsia="en-US"/>
              </w:rPr>
              <w:t>.</w:t>
            </w:r>
            <w:r w:rsidR="001E4AF9">
              <w:rPr>
                <w:rFonts w:eastAsia="Calibri"/>
                <w:sz w:val="24"/>
                <w:szCs w:val="24"/>
                <w:lang w:eastAsia="en-US"/>
              </w:rPr>
              <w:t>11</w:t>
            </w:r>
            <w:r>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E4AF9" w:rsidRDefault="001E4AF9" w:rsidP="0090391D">
            <w:pPr>
              <w:widowControl w:val="0"/>
              <w:autoSpaceDE w:val="0"/>
              <w:autoSpaceDN w:val="0"/>
              <w:adjustRightInd w:val="0"/>
              <w:jc w:val="center"/>
              <w:rPr>
                <w:rFonts w:eastAsia="Calibri"/>
                <w:sz w:val="24"/>
                <w:szCs w:val="24"/>
                <w:lang w:eastAsia="en-US"/>
              </w:rPr>
            </w:pPr>
            <w:r w:rsidRPr="001E4AF9">
              <w:rPr>
                <w:rFonts w:eastAsia="Calibri"/>
                <w:sz w:val="24"/>
                <w:szCs w:val="24"/>
                <w:lang w:eastAsia="en-US"/>
              </w:rPr>
              <w:t xml:space="preserve">Контракт от 20.03.2025г. №57, </w:t>
            </w:r>
            <w:r>
              <w:rPr>
                <w:rFonts w:eastAsia="Calibri"/>
                <w:sz w:val="24"/>
                <w:szCs w:val="24"/>
                <w:lang w:eastAsia="en-US"/>
              </w:rPr>
              <w:t xml:space="preserve">контракт </w:t>
            </w:r>
            <w:r w:rsidRPr="001E4AF9">
              <w:rPr>
                <w:rFonts w:eastAsia="Calibri"/>
                <w:sz w:val="24"/>
                <w:szCs w:val="24"/>
                <w:lang w:eastAsia="en-US"/>
              </w:rPr>
              <w:t>от 20.03.2025г. №58</w:t>
            </w:r>
          </w:p>
          <w:p w:rsidR="0039577E" w:rsidRPr="00787DC6" w:rsidRDefault="0039577E" w:rsidP="001E4AF9">
            <w:pPr>
              <w:widowControl w:val="0"/>
              <w:autoSpaceDE w:val="0"/>
              <w:autoSpaceDN w:val="0"/>
              <w:adjustRightInd w:val="0"/>
              <w:jc w:val="center"/>
              <w:rPr>
                <w:rFonts w:eastAsia="Calibri"/>
                <w:sz w:val="24"/>
                <w:szCs w:val="24"/>
                <w:lang w:eastAsia="en-US"/>
              </w:rPr>
            </w:pPr>
            <w:r w:rsidRPr="00471C95">
              <w:rPr>
                <w:rFonts w:eastAsia="Calibri"/>
                <w:sz w:val="24"/>
                <w:szCs w:val="24"/>
                <w:lang w:eastAsia="en-US"/>
              </w:rPr>
              <w:t xml:space="preserve">Договор от </w:t>
            </w:r>
            <w:r w:rsidR="001E4AF9">
              <w:rPr>
                <w:rFonts w:eastAsia="Calibri"/>
                <w:sz w:val="24"/>
                <w:szCs w:val="24"/>
                <w:lang w:eastAsia="en-US"/>
              </w:rPr>
              <w:lastRenderedPageBreak/>
              <w:t>28.11.</w:t>
            </w:r>
            <w:r w:rsidRPr="00471C95">
              <w:rPr>
                <w:rFonts w:eastAsia="Calibri"/>
                <w:sz w:val="24"/>
                <w:szCs w:val="24"/>
                <w:lang w:eastAsia="en-US"/>
              </w:rPr>
              <w:t xml:space="preserve">2025 № </w:t>
            </w:r>
            <w:r w:rsidR="001E4AF9">
              <w:rPr>
                <w:rFonts w:eastAsia="Calibri"/>
                <w:sz w:val="24"/>
                <w:szCs w:val="24"/>
                <w:lang w:eastAsia="en-US"/>
              </w:rPr>
              <w:t>2021099-2825049/25НСБЮ</w:t>
            </w:r>
          </w:p>
        </w:tc>
        <w:tc>
          <w:tcPr>
            <w:tcW w:w="2847" w:type="dxa"/>
            <w:tcBorders>
              <w:top w:val="single" w:sz="4" w:space="0" w:color="auto"/>
              <w:left w:val="single" w:sz="4" w:space="0" w:color="auto"/>
              <w:bottom w:val="single" w:sz="4" w:space="0" w:color="auto"/>
              <w:right w:val="single" w:sz="4" w:space="0" w:color="auto"/>
            </w:tcBorders>
          </w:tcPr>
          <w:p w:rsidR="0039577E" w:rsidRDefault="0039577E" w:rsidP="00EE45AE">
            <w:pPr>
              <w:widowControl w:val="0"/>
              <w:outlineLvl w:val="2"/>
              <w:rPr>
                <w:sz w:val="24"/>
                <w:szCs w:val="24"/>
              </w:rPr>
            </w:pPr>
            <w:r>
              <w:rPr>
                <w:sz w:val="24"/>
                <w:szCs w:val="24"/>
              </w:rPr>
              <w:lastRenderedPageBreak/>
              <w:t>Администрация Барабанщиковского сельского поселения (Штраух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1E4AF9"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1E4AF9" w:rsidRDefault="001E4AF9"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564" w:type="dxa"/>
            <w:tcBorders>
              <w:top w:val="single" w:sz="4" w:space="0" w:color="auto"/>
              <w:left w:val="single" w:sz="4" w:space="0" w:color="auto"/>
              <w:bottom w:val="single" w:sz="4" w:space="0" w:color="auto"/>
              <w:right w:val="single" w:sz="4" w:space="0" w:color="auto"/>
            </w:tcBorders>
          </w:tcPr>
          <w:p w:rsidR="001E4AF9" w:rsidRDefault="001E4AF9" w:rsidP="00BE5A8A">
            <w:pPr>
              <w:widowControl w:val="0"/>
              <w:tabs>
                <w:tab w:val="left" w:pos="11057"/>
              </w:tabs>
              <w:rPr>
                <w:sz w:val="24"/>
                <w:szCs w:val="24"/>
                <w:highlight w:val="yellow"/>
              </w:rPr>
            </w:pPr>
            <w:r>
              <w:rPr>
                <w:sz w:val="24"/>
                <w:szCs w:val="24"/>
              </w:rPr>
              <w:t xml:space="preserve">Контрольная точка 1.2. Произведена приемка поставленных товаров, выполненных работ, оказанных услуг </w:t>
            </w:r>
            <w:r w:rsidRPr="00AB6BFD">
              <w:rPr>
                <w:sz w:val="24"/>
                <w:szCs w:val="24"/>
              </w:rPr>
              <w:t>по страхованию членов Добровольной пожарной дружины</w:t>
            </w:r>
            <w:r>
              <w:rPr>
                <w:sz w:val="24"/>
                <w:szCs w:val="24"/>
              </w:rPr>
              <w:t xml:space="preserve">, </w:t>
            </w:r>
            <w:r w:rsidRPr="001E4AF9">
              <w:rPr>
                <w:sz w:val="24"/>
                <w:szCs w:val="24"/>
              </w:rPr>
              <w:t>по огнезащ.обработка дерев.конст.мансард и элем.кровли здания Адм. и перезарядку огнетушителей</w:t>
            </w:r>
          </w:p>
        </w:tc>
        <w:tc>
          <w:tcPr>
            <w:tcW w:w="1640" w:type="dxa"/>
            <w:tcBorders>
              <w:top w:val="single" w:sz="4" w:space="0" w:color="auto"/>
              <w:left w:val="single" w:sz="4" w:space="0" w:color="auto"/>
              <w:bottom w:val="single" w:sz="4" w:space="0" w:color="auto"/>
              <w:right w:val="single" w:sz="4" w:space="0" w:color="auto"/>
            </w:tcBorders>
          </w:tcPr>
          <w:p w:rsidR="001E4AF9"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20.03.2025</w:t>
            </w:r>
          </w:p>
        </w:tc>
        <w:tc>
          <w:tcPr>
            <w:tcW w:w="1790" w:type="dxa"/>
            <w:tcBorders>
              <w:top w:val="single" w:sz="4" w:space="0" w:color="auto"/>
              <w:left w:val="single" w:sz="4" w:space="0" w:color="auto"/>
              <w:bottom w:val="single" w:sz="4" w:space="0" w:color="auto"/>
              <w:right w:val="single" w:sz="4" w:space="0" w:color="auto"/>
            </w:tcBorders>
          </w:tcPr>
          <w:p w:rsidR="001E4AF9"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28.11.2025</w:t>
            </w:r>
          </w:p>
        </w:tc>
        <w:tc>
          <w:tcPr>
            <w:tcW w:w="1224"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E4AF9" w:rsidRPr="001E4AF9" w:rsidRDefault="001E4AF9" w:rsidP="001E4AF9">
            <w:pPr>
              <w:widowControl w:val="0"/>
              <w:autoSpaceDE w:val="0"/>
              <w:autoSpaceDN w:val="0"/>
              <w:adjustRightInd w:val="0"/>
              <w:jc w:val="center"/>
              <w:rPr>
                <w:rFonts w:eastAsia="Calibri"/>
                <w:sz w:val="24"/>
                <w:szCs w:val="24"/>
                <w:lang w:eastAsia="en-US"/>
              </w:rPr>
            </w:pPr>
            <w:r w:rsidRPr="001E4AF9">
              <w:rPr>
                <w:sz w:val="24"/>
                <w:szCs w:val="24"/>
              </w:rPr>
              <w:t>Акт от 31.03.2025г. 413, акт №414 от 31.05.2025г.</w:t>
            </w:r>
          </w:p>
          <w:p w:rsidR="001E4AF9" w:rsidRPr="001E4AF9" w:rsidRDefault="001E4AF9" w:rsidP="001E4AF9">
            <w:pPr>
              <w:widowControl w:val="0"/>
              <w:autoSpaceDE w:val="0"/>
              <w:autoSpaceDN w:val="0"/>
              <w:adjustRightInd w:val="0"/>
              <w:jc w:val="center"/>
              <w:rPr>
                <w:rFonts w:eastAsia="Calibri"/>
                <w:sz w:val="24"/>
                <w:szCs w:val="24"/>
                <w:lang w:eastAsia="en-US"/>
              </w:rPr>
            </w:pPr>
            <w:r w:rsidRPr="001E4AF9">
              <w:rPr>
                <w:rFonts w:eastAsia="Calibri"/>
                <w:sz w:val="24"/>
                <w:szCs w:val="24"/>
                <w:lang w:eastAsia="en-US"/>
              </w:rPr>
              <w:t>счет от 28.11.2025г. №1545250022025</w:t>
            </w:r>
          </w:p>
        </w:tc>
        <w:tc>
          <w:tcPr>
            <w:tcW w:w="2847" w:type="dxa"/>
            <w:tcBorders>
              <w:top w:val="single" w:sz="4" w:space="0" w:color="auto"/>
              <w:left w:val="single" w:sz="4" w:space="0" w:color="auto"/>
              <w:bottom w:val="single" w:sz="4" w:space="0" w:color="auto"/>
              <w:right w:val="single" w:sz="4" w:space="0" w:color="auto"/>
            </w:tcBorders>
          </w:tcPr>
          <w:p w:rsidR="001E4AF9" w:rsidRDefault="001E4AF9" w:rsidP="00EE45AE">
            <w:pPr>
              <w:widowControl w:val="0"/>
              <w:outlineLvl w:val="2"/>
              <w:rPr>
                <w:sz w:val="24"/>
                <w:szCs w:val="24"/>
              </w:rPr>
            </w:pPr>
            <w:r>
              <w:rPr>
                <w:sz w:val="24"/>
                <w:szCs w:val="24"/>
              </w:rPr>
              <w:t>Администрация Барабанщиковского сельского поселения (Штраух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1E4AF9" w:rsidRPr="00787DC6" w:rsidRDefault="001E4AF9"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D4F8C" w:rsidRPr="00787DC6" w:rsidTr="00A46CC6">
        <w:trPr>
          <w:trHeight w:val="335"/>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2. Комплекс процессных мероприятий «Защита населения от чрезвычайных ситуаций»</w:t>
            </w:r>
          </w:p>
        </w:tc>
      </w:tr>
      <w:tr w:rsidR="001E4AF9"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1E4AF9" w:rsidRPr="00787DC6" w:rsidRDefault="001E4AF9"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1E4AF9" w:rsidRPr="00AE6357" w:rsidRDefault="001E4AF9" w:rsidP="000D4F8C">
            <w:pPr>
              <w:pStyle w:val="Standard"/>
              <w:jc w:val="both"/>
            </w:pPr>
            <w:r w:rsidRPr="00AE6357">
              <w:t>Мероприятие (результат) 1.</w:t>
            </w:r>
          </w:p>
          <w:p w:rsidR="001E4AF9" w:rsidRPr="00787DC6" w:rsidRDefault="001E4AF9" w:rsidP="00BF0413">
            <w:pPr>
              <w:widowControl w:val="0"/>
              <w:autoSpaceDE w:val="0"/>
              <w:autoSpaceDN w:val="0"/>
              <w:adjustRightInd w:val="0"/>
              <w:contextualSpacing/>
              <w:rPr>
                <w:rFonts w:eastAsia="Calibri"/>
                <w:sz w:val="24"/>
                <w:szCs w:val="24"/>
                <w:lang w:eastAsia="en-US"/>
              </w:rPr>
            </w:pPr>
            <w:r w:rsidRPr="00AE6357">
              <w:rPr>
                <w:sz w:val="24"/>
                <w:szCs w:val="24"/>
              </w:rPr>
              <w:t xml:space="preserve"> </w:t>
            </w:r>
            <w:r w:rsidRPr="00B00B6E">
              <w:rPr>
                <w:sz w:val="24"/>
                <w:szCs w:val="24"/>
              </w:rPr>
              <w:t>«</w:t>
            </w:r>
            <w:r w:rsidRPr="001E4AF9">
              <w:rPr>
                <w:color w:val="000000"/>
                <w:sz w:val="24"/>
                <w:szCs w:val="24"/>
              </w:rPr>
              <w:t>Предупреждение и ликвидация чрезвычайных ситуаций и пропаганда среди населения безопасности жизнедеятельности</w:t>
            </w:r>
            <w:r w:rsidRPr="00B00B6E">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1E4AF9" w:rsidRPr="00AE6357" w:rsidRDefault="001E4AF9" w:rsidP="000D4F8C">
            <w:pPr>
              <w:rPr>
                <w:sz w:val="24"/>
                <w:szCs w:val="24"/>
              </w:rPr>
            </w:pPr>
            <w:r>
              <w:rPr>
                <w:sz w:val="24"/>
                <w:szCs w:val="24"/>
              </w:rPr>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1E4AF9" w:rsidRPr="00AE6357" w:rsidRDefault="001E4AF9" w:rsidP="000D4F8C">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1E4AF9" w:rsidRPr="0039577E" w:rsidRDefault="001E4AF9"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1E4AF9" w:rsidRPr="0039577E" w:rsidRDefault="001E4AF9"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1E4AF9" w:rsidRDefault="001E4AF9" w:rsidP="00A7764F">
            <w:pPr>
              <w:jc w:val="center"/>
            </w:pPr>
            <w:r w:rsidRPr="007B506B">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2.2</w:t>
            </w:r>
          </w:p>
        </w:tc>
        <w:tc>
          <w:tcPr>
            <w:tcW w:w="2564" w:type="dxa"/>
            <w:tcBorders>
              <w:top w:val="single" w:sz="4" w:space="0" w:color="auto"/>
              <w:left w:val="single" w:sz="4" w:space="0" w:color="auto"/>
              <w:bottom w:val="single" w:sz="4" w:space="0" w:color="auto"/>
              <w:right w:val="single" w:sz="4" w:space="0" w:color="auto"/>
            </w:tcBorders>
            <w:hideMark/>
          </w:tcPr>
          <w:p w:rsidR="00BF0413" w:rsidRPr="006623F1" w:rsidRDefault="00BF0413" w:rsidP="00EE45AE">
            <w:pPr>
              <w:widowControl w:val="0"/>
              <w:rPr>
                <w:sz w:val="24"/>
                <w:szCs w:val="24"/>
              </w:rPr>
            </w:pPr>
            <w:r w:rsidRPr="006623F1">
              <w:rPr>
                <w:sz w:val="24"/>
                <w:szCs w:val="24"/>
              </w:rPr>
              <w:t>Контрольная точка 1.</w:t>
            </w:r>
            <w:r>
              <w:rPr>
                <w:sz w:val="24"/>
                <w:szCs w:val="24"/>
              </w:rPr>
              <w:t>1</w:t>
            </w:r>
            <w:r w:rsidRPr="006623F1">
              <w:rPr>
                <w:sz w:val="24"/>
                <w:szCs w:val="24"/>
              </w:rPr>
              <w:t xml:space="preserve"> «Проведены плановые учения, реализованные через </w:t>
            </w:r>
            <w:r w:rsidRPr="006623F1">
              <w:rPr>
                <w:sz w:val="24"/>
                <w:szCs w:val="24"/>
              </w:rPr>
              <w:lastRenderedPageBreak/>
              <w:t>систему оповещения»</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0D4F8C">
            <w:pPr>
              <w:jc w:val="center"/>
              <w:rPr>
                <w:sz w:val="24"/>
                <w:szCs w:val="24"/>
              </w:rPr>
            </w:pPr>
            <w:r>
              <w:rPr>
                <w:sz w:val="24"/>
                <w:szCs w:val="24"/>
              </w:rPr>
              <w:lastRenderedPageBreak/>
              <w:t>30.06.2025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30.06.2025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 xml:space="preserve">Проведено 2 плановых учения </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 xml:space="preserve">(Казакова С.Ю., </w:t>
            </w:r>
            <w:r w:rsidRPr="0039577E">
              <w:rPr>
                <w:color w:val="000000"/>
                <w:sz w:val="24"/>
                <w:szCs w:val="24"/>
              </w:rPr>
              <w:lastRenderedPageBreak/>
              <w:t>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Default="00BF0413" w:rsidP="00A7764F">
            <w:pPr>
              <w:jc w:val="center"/>
            </w:pPr>
            <w:r w:rsidRPr="007B506B">
              <w:rPr>
                <w:rFonts w:eastAsia="Calibri"/>
                <w:sz w:val="24"/>
                <w:szCs w:val="24"/>
                <w:lang w:eastAsia="en-US"/>
              </w:rPr>
              <w:lastRenderedPageBreak/>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2.3</w:t>
            </w:r>
          </w:p>
        </w:tc>
        <w:tc>
          <w:tcPr>
            <w:tcW w:w="2564" w:type="dxa"/>
            <w:tcBorders>
              <w:top w:val="single" w:sz="4" w:space="0" w:color="auto"/>
              <w:left w:val="single" w:sz="4" w:space="0" w:color="auto"/>
              <w:bottom w:val="single" w:sz="4" w:space="0" w:color="auto"/>
              <w:right w:val="single" w:sz="4" w:space="0" w:color="auto"/>
            </w:tcBorders>
            <w:hideMark/>
          </w:tcPr>
          <w:p w:rsidR="00BF0413" w:rsidRPr="006623F1" w:rsidRDefault="00BF0413" w:rsidP="00EE45AE">
            <w:pPr>
              <w:widowControl w:val="0"/>
              <w:rPr>
                <w:sz w:val="24"/>
                <w:szCs w:val="24"/>
              </w:rPr>
            </w:pPr>
            <w:r>
              <w:rPr>
                <w:sz w:val="24"/>
                <w:szCs w:val="24"/>
              </w:rPr>
              <w:t>Контрольная точка 1.2</w:t>
            </w:r>
            <w:r w:rsidRPr="006623F1">
              <w:rPr>
                <w:sz w:val="24"/>
                <w:szCs w:val="24"/>
              </w:rPr>
              <w:t xml:space="preserve"> «Организована работа с населением о </w:t>
            </w:r>
            <w:r w:rsidRPr="006623F1">
              <w:rPr>
                <w:bCs/>
                <w:sz w:val="24"/>
                <w:szCs w:val="24"/>
              </w:rPr>
              <w:t>своевременном доведении информации об угрозе и возникновении чрезвычайных ситуаций»</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0D4F8C">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25.12.2025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Проведены 4 схода граждан</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Default="00BF0413" w:rsidP="00A7764F">
            <w:pPr>
              <w:jc w:val="center"/>
            </w:pPr>
            <w:r w:rsidRPr="007B506B">
              <w:rPr>
                <w:rFonts w:eastAsia="Calibri"/>
                <w:sz w:val="24"/>
                <w:szCs w:val="24"/>
                <w:lang w:eastAsia="en-US"/>
              </w:rPr>
              <w:t>-</w:t>
            </w:r>
          </w:p>
        </w:tc>
      </w:tr>
      <w:tr w:rsidR="000D4F8C" w:rsidRPr="00787DC6" w:rsidTr="00A46CC6">
        <w:trPr>
          <w:trHeight w:val="284"/>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3. Комплекс процессных мероприятий «Обеспечение безопасности на воде»</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3.1</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0D4F8C">
            <w:pPr>
              <w:rPr>
                <w:sz w:val="24"/>
                <w:szCs w:val="24"/>
              </w:rPr>
            </w:pPr>
            <w:r w:rsidRPr="000D4F8C">
              <w:rPr>
                <w:sz w:val="24"/>
                <w:szCs w:val="24"/>
              </w:rPr>
              <w:t xml:space="preserve">Мероприятие (результат) </w:t>
            </w:r>
            <w:r w:rsidRPr="000D4F8C">
              <w:rPr>
                <w:rFonts w:eastAsia="Andale Sans UI"/>
                <w:sz w:val="24"/>
                <w:szCs w:val="24"/>
                <w:lang w:val="de-DE" w:eastAsia="fa-IR" w:bidi="fa-IR"/>
              </w:rPr>
              <w:t>«Обеспечено предупреждение и пропаганда среди населения безопасности жизнедеятельности и обучение действиям при возникновении опасности на воде»</w:t>
            </w:r>
          </w:p>
        </w:tc>
        <w:tc>
          <w:tcPr>
            <w:tcW w:w="1640" w:type="dxa"/>
            <w:tcBorders>
              <w:top w:val="single" w:sz="4" w:space="0" w:color="auto"/>
              <w:left w:val="single" w:sz="4" w:space="0" w:color="auto"/>
              <w:bottom w:val="single" w:sz="4" w:space="0" w:color="auto"/>
              <w:right w:val="single" w:sz="4" w:space="0" w:color="auto"/>
            </w:tcBorders>
          </w:tcPr>
          <w:p w:rsidR="00BF0413" w:rsidRDefault="00BF0413" w:rsidP="00BE5A8A">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3.2</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2B2C03">
            <w:pPr>
              <w:rPr>
                <w:sz w:val="24"/>
                <w:szCs w:val="24"/>
              </w:rPr>
            </w:pPr>
            <w:r w:rsidRPr="000D4F8C">
              <w:rPr>
                <w:sz w:val="24"/>
                <w:szCs w:val="24"/>
              </w:rPr>
              <w:t>Контрольная точка 1.3 «Утвержден</w:t>
            </w:r>
            <w:r w:rsidR="002B2C03">
              <w:rPr>
                <w:sz w:val="24"/>
                <w:szCs w:val="24"/>
              </w:rPr>
              <w:t xml:space="preserve"> План основных мероприятий по обеспечению безопасности</w:t>
            </w:r>
            <w:r w:rsidRPr="000D4F8C">
              <w:rPr>
                <w:sz w:val="24"/>
                <w:szCs w:val="24"/>
              </w:rPr>
              <w:t xml:space="preserve"> людей на водных объектах</w:t>
            </w:r>
            <w:r w:rsidR="002B2C03">
              <w:rPr>
                <w:sz w:val="24"/>
                <w:szCs w:val="24"/>
              </w:rPr>
              <w:t xml:space="preserve"> сельского поселения, </w:t>
            </w:r>
            <w:r w:rsidR="002B2C03">
              <w:rPr>
                <w:sz w:val="24"/>
                <w:szCs w:val="24"/>
              </w:rPr>
              <w:lastRenderedPageBreak/>
              <w:t>охраны их жизни и здоровья</w:t>
            </w:r>
            <w:r w:rsidRPr="000D4F8C">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BF0413">
            <w:pPr>
              <w:jc w:val="center"/>
              <w:rPr>
                <w:sz w:val="24"/>
                <w:szCs w:val="24"/>
              </w:rPr>
            </w:pPr>
            <w:r>
              <w:rPr>
                <w:sz w:val="24"/>
                <w:szCs w:val="24"/>
              </w:rPr>
              <w:lastRenderedPageBreak/>
              <w:t>10.01.2025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09.01.2025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2B2C03" w:rsidRDefault="00BF0413" w:rsidP="002B2C03">
            <w:pPr>
              <w:widowControl w:val="0"/>
              <w:autoSpaceDE w:val="0"/>
              <w:autoSpaceDN w:val="0"/>
              <w:adjustRightInd w:val="0"/>
              <w:contextualSpacing/>
              <w:jc w:val="center"/>
              <w:rPr>
                <w:rFonts w:eastAsia="Calibri"/>
                <w:sz w:val="24"/>
                <w:szCs w:val="24"/>
                <w:lang w:eastAsia="en-US"/>
              </w:rPr>
            </w:pPr>
            <w:r w:rsidRPr="002B2C03">
              <w:rPr>
                <w:rFonts w:eastAsia="Calibri"/>
                <w:sz w:val="24"/>
                <w:szCs w:val="24"/>
                <w:lang w:eastAsia="en-US"/>
              </w:rPr>
              <w:t xml:space="preserve">Распоряжение от </w:t>
            </w:r>
            <w:r w:rsidR="002B2C03" w:rsidRPr="002B2C03">
              <w:rPr>
                <w:rFonts w:eastAsia="Calibri"/>
                <w:sz w:val="24"/>
                <w:szCs w:val="24"/>
                <w:lang w:eastAsia="en-US"/>
              </w:rPr>
              <w:t>15</w:t>
            </w:r>
            <w:r w:rsidRPr="002B2C03">
              <w:rPr>
                <w:rFonts w:eastAsia="Calibri"/>
                <w:sz w:val="24"/>
                <w:szCs w:val="24"/>
                <w:lang w:eastAsia="en-US"/>
              </w:rPr>
              <w:t>.0</w:t>
            </w:r>
            <w:r w:rsidR="002B2C03" w:rsidRPr="002B2C03">
              <w:rPr>
                <w:rFonts w:eastAsia="Calibri"/>
                <w:sz w:val="24"/>
                <w:szCs w:val="24"/>
                <w:lang w:eastAsia="en-US"/>
              </w:rPr>
              <w:t>5</w:t>
            </w:r>
            <w:r w:rsidRPr="002B2C03">
              <w:rPr>
                <w:rFonts w:eastAsia="Calibri"/>
                <w:sz w:val="24"/>
                <w:szCs w:val="24"/>
                <w:lang w:eastAsia="en-US"/>
              </w:rPr>
              <w:t>.25 №3</w:t>
            </w:r>
            <w:r w:rsidR="002B2C03" w:rsidRPr="002B2C03">
              <w:rPr>
                <w:rFonts w:eastAsia="Calibri"/>
                <w:sz w:val="24"/>
                <w:szCs w:val="24"/>
                <w:lang w:eastAsia="en-US"/>
              </w:rPr>
              <w:t>2А</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3.3</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0D4F8C">
            <w:pPr>
              <w:rPr>
                <w:sz w:val="24"/>
                <w:szCs w:val="24"/>
              </w:rPr>
            </w:pPr>
            <w:r w:rsidRPr="000D4F8C">
              <w:rPr>
                <w:sz w:val="24"/>
                <w:szCs w:val="24"/>
              </w:rPr>
              <w:t>Контрольная то</w:t>
            </w:r>
            <w:r w:rsidRPr="000D4F8C">
              <w:rPr>
                <w:rStyle w:val="15"/>
                <w:sz w:val="24"/>
                <w:szCs w:val="24"/>
              </w:rPr>
              <w:t>чка 1.4 «Проведены профилактические мероприятия и беседы с совершеннолетними гражданами поселения о безопасности на воде»</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BF0413">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05.05.2025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Проведено 2 схода и вручены памятки и листовки родителям несовершеннолетних детей</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33,2</w:t>
            </w:r>
          </w:p>
        </w:tc>
        <w:tc>
          <w:tcPr>
            <w:tcW w:w="1843" w:type="dxa"/>
            <w:tcBorders>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32,4</w:t>
            </w:r>
          </w:p>
        </w:tc>
        <w:tc>
          <w:tcPr>
            <w:tcW w:w="1621"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97,6</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97"/>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33,2</w:t>
            </w:r>
          </w:p>
        </w:tc>
        <w:tc>
          <w:tcPr>
            <w:tcW w:w="1843" w:type="dxa"/>
            <w:tcBorders>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32,4</w:t>
            </w:r>
          </w:p>
        </w:tc>
        <w:tc>
          <w:tcPr>
            <w:tcW w:w="1621"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97,6</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20"/>
        </w:trPr>
        <w:tc>
          <w:tcPr>
            <w:tcW w:w="4820" w:type="dxa"/>
            <w:vMerge w:val="restart"/>
            <w:tcBorders>
              <w:top w:val="single" w:sz="4" w:space="0" w:color="auto"/>
              <w:left w:val="single" w:sz="4" w:space="0" w:color="auto"/>
              <w:right w:val="single" w:sz="4" w:space="0" w:color="auto"/>
            </w:tcBorders>
          </w:tcPr>
          <w:p w:rsidR="00FC0BA5" w:rsidRPr="00C319B0" w:rsidRDefault="00FC0BA5" w:rsidP="0090391D">
            <w:pPr>
              <w:widowControl w:val="0"/>
              <w:rPr>
                <w:sz w:val="24"/>
                <w:szCs w:val="24"/>
              </w:rPr>
            </w:pPr>
            <w:r w:rsidRPr="001018C7">
              <w:rPr>
                <w:sz w:val="24"/>
                <w:szCs w:val="24"/>
              </w:rPr>
              <w:t>Комплекс процессных мероприятий 1 «Пожарная безопасность»</w:t>
            </w: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33,2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32,4</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97,6</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22"/>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33,2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32,4</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97,6</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Комплекс процессных мероприятий 2 «Защита населения от чрезвычайных ситуаций»</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Pr="00C319B0" w:rsidRDefault="00150A62" w:rsidP="004D7C0F">
            <w:pPr>
              <w:widowControl w:val="0"/>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 xml:space="preserve">Комплекс процессных мероприятий </w:t>
            </w:r>
            <w:r>
              <w:rPr>
                <w:sz w:val="24"/>
                <w:szCs w:val="24"/>
              </w:rPr>
              <w:t>3 «</w:t>
            </w:r>
            <w:r w:rsidRPr="003C5EE2">
              <w:rPr>
                <w:sz w:val="24"/>
                <w:szCs w:val="24"/>
              </w:rPr>
              <w:t>Обеспечение безопасности на воде»</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6874" w:type="dxa"/>
        <w:jc w:val="center"/>
        <w:tblCellSpacing w:w="5" w:type="nil"/>
        <w:tblInd w:w="-903" w:type="dxa"/>
        <w:tblLayout w:type="fixed"/>
        <w:tblCellMar>
          <w:left w:w="75" w:type="dxa"/>
          <w:right w:w="75" w:type="dxa"/>
        </w:tblCellMar>
        <w:tblLook w:val="0000" w:firstRow="0" w:lastRow="0" w:firstColumn="0" w:lastColumn="0" w:noHBand="0" w:noVBand="0"/>
      </w:tblPr>
      <w:tblGrid>
        <w:gridCol w:w="604"/>
        <w:gridCol w:w="395"/>
        <w:gridCol w:w="641"/>
        <w:gridCol w:w="3595"/>
        <w:gridCol w:w="266"/>
        <w:gridCol w:w="945"/>
        <w:gridCol w:w="189"/>
        <w:gridCol w:w="962"/>
        <w:gridCol w:w="739"/>
        <w:gridCol w:w="944"/>
        <w:gridCol w:w="331"/>
        <w:gridCol w:w="978"/>
        <w:gridCol w:w="156"/>
        <w:gridCol w:w="978"/>
        <w:gridCol w:w="156"/>
        <w:gridCol w:w="978"/>
        <w:gridCol w:w="865"/>
        <w:gridCol w:w="1026"/>
        <w:gridCol w:w="1106"/>
        <w:gridCol w:w="1020"/>
      </w:tblGrid>
      <w:tr w:rsidR="00772DE4" w:rsidRPr="00C319B0" w:rsidTr="00FC0BA5">
        <w:trPr>
          <w:gridBefore w:val="2"/>
          <w:wBefore w:w="999" w:type="dxa"/>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06" w:type="dxa"/>
            <w:gridSpan w:val="3"/>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FC0BA5">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4"/>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C0BA5">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4"/>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06"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FC0BA5">
        <w:trPr>
          <w:gridBefore w:val="2"/>
          <w:wBefore w:w="999" w:type="dxa"/>
          <w:trHeight w:val="313"/>
          <w:tblCellSpacing w:w="5" w:type="nil"/>
          <w:jc w:val="center"/>
        </w:trPr>
        <w:tc>
          <w:tcPr>
            <w:tcW w:w="1185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Pr="00402966">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sz w:val="24"/>
                <w:szCs w:val="24"/>
              </w:rPr>
              <w:t>»</w:t>
            </w:r>
          </w:p>
        </w:tc>
        <w:tc>
          <w:tcPr>
            <w:tcW w:w="1891" w:type="dxa"/>
            <w:gridSpan w:val="2"/>
            <w:tcBorders>
              <w:left w:val="single" w:sz="4" w:space="0" w:color="auto"/>
              <w:bottom w:val="single" w:sz="4" w:space="0" w:color="auto"/>
              <w:right w:val="single" w:sz="4" w:space="0" w:color="auto"/>
            </w:tcBorders>
          </w:tcPr>
          <w:p w:rsidR="00E82368" w:rsidRPr="00C319B0" w:rsidRDefault="00685DB7" w:rsidP="0090391D">
            <w:pPr>
              <w:widowControl w:val="0"/>
              <w:shd w:val="clear" w:color="auto" w:fill="FFFFFF"/>
              <w:autoSpaceDE w:val="0"/>
              <w:autoSpaceDN w:val="0"/>
              <w:adjustRightInd w:val="0"/>
              <w:jc w:val="center"/>
              <w:rPr>
                <w:sz w:val="24"/>
                <w:szCs w:val="24"/>
              </w:rPr>
            </w:pPr>
            <w:r>
              <w:rPr>
                <w:sz w:val="24"/>
                <w:szCs w:val="24"/>
              </w:rPr>
              <w:t>59</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FC0BA5">
        <w:trPr>
          <w:gridBefore w:val="2"/>
          <w:wBefore w:w="999" w:type="dxa"/>
          <w:trHeight w:val="313"/>
          <w:tblCellSpacing w:w="5" w:type="nil"/>
          <w:jc w:val="center"/>
        </w:trPr>
        <w:tc>
          <w:tcPr>
            <w:tcW w:w="11858" w:type="dxa"/>
            <w:gridSpan w:val="14"/>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E82368" w:rsidRPr="00C319B0" w:rsidRDefault="00685DB7" w:rsidP="0090391D">
            <w:pPr>
              <w:widowControl w:val="0"/>
              <w:shd w:val="clear" w:color="auto" w:fill="FFFFFF"/>
              <w:autoSpaceDE w:val="0"/>
              <w:autoSpaceDN w:val="0"/>
              <w:adjustRightInd w:val="0"/>
              <w:jc w:val="center"/>
              <w:rPr>
                <w:sz w:val="24"/>
                <w:szCs w:val="24"/>
              </w:rPr>
            </w:pPr>
            <w:r>
              <w:rPr>
                <w:sz w:val="24"/>
                <w:szCs w:val="24"/>
              </w:rPr>
              <w:t>50</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772DE4" w:rsidRPr="00C319B0" w:rsidTr="00FC0BA5">
        <w:trPr>
          <w:gridBefore w:val="2"/>
          <w:wBefore w:w="999" w:type="dxa"/>
          <w:trHeight w:val="1166"/>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06" w:type="dxa"/>
            <w:gridSpan w:val="3"/>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Количество людей,  которым оказана помощь при пожарах, чрезвычайных ситуациях и происшествиях</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человек</w:t>
            </w:r>
          </w:p>
        </w:tc>
        <w:tc>
          <w:tcPr>
            <w:tcW w:w="1683" w:type="dxa"/>
            <w:gridSpan w:val="2"/>
            <w:tcBorders>
              <w:left w:val="single" w:sz="4" w:space="0" w:color="auto"/>
              <w:bottom w:val="single" w:sz="4" w:space="0" w:color="auto"/>
              <w:right w:val="single" w:sz="4" w:space="0" w:color="auto"/>
            </w:tcBorders>
          </w:tcPr>
          <w:p w:rsidR="00772DE4" w:rsidRDefault="00772DE4" w:rsidP="00BE5A8A">
            <w:pPr>
              <w:widowControl w:val="0"/>
              <w:spacing w:line="228" w:lineRule="auto"/>
              <w:jc w:val="center"/>
              <w:rPr>
                <w:sz w:val="24"/>
                <w:szCs w:val="24"/>
              </w:rPr>
            </w:pPr>
            <w:r>
              <w:rPr>
                <w:sz w:val="24"/>
                <w:szCs w:val="24"/>
              </w:rPr>
              <w:t>убывание</w:t>
            </w:r>
          </w:p>
        </w:tc>
        <w:tc>
          <w:tcPr>
            <w:tcW w:w="1309"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772DE4" w:rsidRPr="00C319B0" w:rsidRDefault="001A64B5" w:rsidP="0090391D">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06"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Количество профилактических мероприятий по предупреждению пожаров, чрезвычайных ситуаций и происшествий на водных объектах</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772DE4" w:rsidRDefault="00772DE4" w:rsidP="00BE5A8A">
            <w:pPr>
              <w:widowControl w:val="0"/>
              <w:jc w:val="center"/>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B517CE" w:rsidRPr="00C319B0" w:rsidTr="00FC0BA5">
        <w:trPr>
          <w:gridBefore w:val="2"/>
          <w:wBefore w:w="999" w:type="dxa"/>
          <w:tblCellSpacing w:w="5" w:type="nil"/>
          <w:jc w:val="center"/>
        </w:trPr>
        <w:tc>
          <w:tcPr>
            <w:tcW w:w="11858" w:type="dxa"/>
            <w:gridSpan w:val="14"/>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B517CE" w:rsidRPr="00C319B0" w:rsidRDefault="00685DB7" w:rsidP="00F56221">
            <w:pPr>
              <w:widowControl w:val="0"/>
              <w:shd w:val="clear" w:color="auto" w:fill="FFFFFF"/>
              <w:autoSpaceDE w:val="0"/>
              <w:autoSpaceDN w:val="0"/>
              <w:adjustRightInd w:val="0"/>
              <w:jc w:val="center"/>
              <w:rPr>
                <w:sz w:val="24"/>
                <w:szCs w:val="24"/>
              </w:rPr>
            </w:pPr>
            <w:r>
              <w:rPr>
                <w:sz w:val="24"/>
                <w:szCs w:val="24"/>
              </w:rPr>
              <w:t>80</w:t>
            </w:r>
          </w:p>
        </w:tc>
        <w:tc>
          <w:tcPr>
            <w:tcW w:w="2126"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«Пожарная безопасность»</w:t>
            </w:r>
          </w:p>
        </w:tc>
      </w:tr>
      <w:tr w:rsidR="00772DE4"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772DE4" w:rsidRDefault="00772DE4"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06" w:type="dxa"/>
            <w:gridSpan w:val="3"/>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Количество выездов пожарных и спасательных подразделений на пожары, чрезвычайные ситуации и происшествия</w:t>
            </w:r>
          </w:p>
        </w:tc>
        <w:tc>
          <w:tcPr>
            <w:tcW w:w="1151" w:type="dxa"/>
            <w:gridSpan w:val="2"/>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убывание</w:t>
            </w:r>
          </w:p>
        </w:tc>
        <w:tc>
          <w:tcPr>
            <w:tcW w:w="1309" w:type="dxa"/>
            <w:gridSpan w:val="2"/>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772DE4" w:rsidRPr="00772DE4" w:rsidRDefault="001A64B5" w:rsidP="00E82368">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p>
        </w:tc>
      </w:tr>
      <w:tr w:rsidR="00FC0BA5"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FC0BA5" w:rsidRPr="00772DE4" w:rsidRDefault="00FC0BA5" w:rsidP="0090391D">
            <w:pPr>
              <w:widowControl w:val="0"/>
              <w:shd w:val="clear" w:color="auto" w:fill="FFFFFF"/>
              <w:autoSpaceDE w:val="0"/>
              <w:autoSpaceDN w:val="0"/>
              <w:adjustRightInd w:val="0"/>
              <w:jc w:val="center"/>
              <w:rPr>
                <w:sz w:val="24"/>
                <w:szCs w:val="24"/>
              </w:rPr>
            </w:pPr>
            <w:r>
              <w:rPr>
                <w:sz w:val="24"/>
                <w:szCs w:val="24"/>
              </w:rPr>
              <w:t>2.2.</w:t>
            </w:r>
          </w:p>
        </w:tc>
        <w:tc>
          <w:tcPr>
            <w:tcW w:w="4806" w:type="dxa"/>
            <w:gridSpan w:val="3"/>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Количество профилактических мероприятий по предупреждению пожаров</w:t>
            </w:r>
          </w:p>
        </w:tc>
        <w:tc>
          <w:tcPr>
            <w:tcW w:w="1151" w:type="dxa"/>
            <w:gridSpan w:val="2"/>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134" w:type="dxa"/>
            <w:gridSpan w:val="2"/>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134" w:type="dxa"/>
            <w:gridSpan w:val="2"/>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891" w:type="dxa"/>
            <w:gridSpan w:val="2"/>
            <w:tcBorders>
              <w:left w:val="single" w:sz="4" w:space="0" w:color="auto"/>
              <w:bottom w:val="single" w:sz="4" w:space="0" w:color="auto"/>
              <w:right w:val="single" w:sz="4" w:space="0" w:color="auto"/>
            </w:tcBorders>
          </w:tcPr>
          <w:p w:rsidR="00FC0BA5" w:rsidRPr="00772DE4" w:rsidRDefault="00FC0BA5" w:rsidP="00E82368">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FC0BA5" w:rsidRPr="00C319B0" w:rsidRDefault="00FC0BA5" w:rsidP="00E82368">
            <w:pPr>
              <w:widowControl w:val="0"/>
              <w:shd w:val="clear" w:color="auto" w:fill="FFFFFF"/>
              <w:autoSpaceDE w:val="0"/>
              <w:autoSpaceDN w:val="0"/>
              <w:adjustRightInd w:val="0"/>
              <w:jc w:val="center"/>
              <w:rPr>
                <w:sz w:val="24"/>
                <w:szCs w:val="24"/>
              </w:rPr>
            </w:pPr>
          </w:p>
        </w:tc>
      </w:tr>
      <w:tr w:rsidR="009C6BF5"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«Защита населения</w:t>
            </w:r>
            <w:r w:rsidR="00C976AE">
              <w:rPr>
                <w:sz w:val="24"/>
              </w:rPr>
              <w:t xml:space="preserve"> </w:t>
            </w:r>
            <w:r w:rsidRPr="00D37558">
              <w:rPr>
                <w:sz w:val="24"/>
              </w:rPr>
              <w:t>от чрезвычайных ситуаций»</w:t>
            </w:r>
          </w:p>
        </w:tc>
      </w:tr>
      <w:tr w:rsidR="00772DE4"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FC0BA5">
            <w:pPr>
              <w:widowControl w:val="0"/>
              <w:shd w:val="clear" w:color="auto" w:fill="FFFFFF"/>
              <w:autoSpaceDE w:val="0"/>
              <w:autoSpaceDN w:val="0"/>
              <w:adjustRightInd w:val="0"/>
              <w:jc w:val="center"/>
              <w:rPr>
                <w:sz w:val="24"/>
                <w:szCs w:val="24"/>
              </w:rPr>
            </w:pPr>
            <w:r w:rsidRPr="00C319B0">
              <w:rPr>
                <w:sz w:val="24"/>
                <w:szCs w:val="24"/>
              </w:rPr>
              <w:t>2.</w:t>
            </w:r>
            <w:r w:rsidR="00FC0BA5">
              <w:rPr>
                <w:sz w:val="24"/>
                <w:szCs w:val="24"/>
              </w:rPr>
              <w:t>3</w:t>
            </w:r>
            <w:r w:rsidRPr="00C319B0">
              <w:rPr>
                <w:sz w:val="24"/>
                <w:szCs w:val="24"/>
              </w:rPr>
              <w:t>.</w:t>
            </w:r>
          </w:p>
        </w:tc>
        <w:tc>
          <w:tcPr>
            <w:tcW w:w="4806" w:type="dxa"/>
            <w:gridSpan w:val="3"/>
            <w:tcBorders>
              <w:left w:val="single" w:sz="4" w:space="0" w:color="auto"/>
              <w:bottom w:val="single" w:sz="4" w:space="0" w:color="auto"/>
              <w:right w:val="single" w:sz="4" w:space="0" w:color="auto"/>
            </w:tcBorders>
          </w:tcPr>
          <w:p w:rsidR="00FC0BA5" w:rsidRPr="00C319B0" w:rsidRDefault="00772DE4" w:rsidP="00FC0BA5">
            <w:pPr>
              <w:widowControl w:val="0"/>
              <w:rPr>
                <w:sz w:val="24"/>
                <w:szCs w:val="24"/>
              </w:rPr>
            </w:pPr>
            <w:r w:rsidRPr="00AC4896">
              <w:rPr>
                <w:sz w:val="24"/>
                <w:szCs w:val="24"/>
              </w:rPr>
              <w:t xml:space="preserve">Охват населения оповещаемого системой </w:t>
            </w:r>
            <w:r w:rsidRPr="00AC4896">
              <w:rPr>
                <w:sz w:val="24"/>
                <w:szCs w:val="24"/>
              </w:rPr>
              <w:lastRenderedPageBreak/>
              <w:t>оповещ</w:t>
            </w:r>
            <w:r>
              <w:rPr>
                <w:sz w:val="24"/>
                <w:szCs w:val="24"/>
              </w:rPr>
              <w:t>е</w:t>
            </w:r>
            <w:r w:rsidRPr="00AC4896">
              <w:rPr>
                <w:sz w:val="24"/>
                <w:szCs w:val="24"/>
              </w:rPr>
              <w:t>ния</w:t>
            </w:r>
          </w:p>
          <w:p w:rsidR="00772DE4" w:rsidRPr="00C319B0" w:rsidRDefault="00772DE4" w:rsidP="009C6BF5">
            <w:pPr>
              <w:widowControl w:val="0"/>
              <w:shd w:val="clear" w:color="auto" w:fill="FFFFFF"/>
              <w:autoSpaceDE w:val="0"/>
              <w:autoSpaceDN w:val="0"/>
              <w:adjustRightInd w:val="0"/>
              <w:rPr>
                <w:sz w:val="24"/>
                <w:szCs w:val="24"/>
              </w:rPr>
            </w:pP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C4896">
              <w:rPr>
                <w:sz w:val="24"/>
                <w:szCs w:val="24"/>
              </w:rPr>
              <w:lastRenderedPageBreak/>
              <w:t>человек</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134" w:type="dxa"/>
            <w:gridSpan w:val="2"/>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134" w:type="dxa"/>
            <w:gridSpan w:val="2"/>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p>
        </w:tc>
      </w:tr>
      <w:tr w:rsidR="00FC0BA5" w:rsidRPr="00C319B0" w:rsidTr="00FC0BA5">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FC0BA5" w:rsidRPr="00C319B0" w:rsidRDefault="00FC0BA5" w:rsidP="00FC0BA5">
            <w:pPr>
              <w:widowControl w:val="0"/>
              <w:shd w:val="clear" w:color="auto" w:fill="FFFFFF"/>
              <w:autoSpaceDE w:val="0"/>
              <w:autoSpaceDN w:val="0"/>
              <w:adjustRightInd w:val="0"/>
              <w:jc w:val="center"/>
              <w:rPr>
                <w:sz w:val="24"/>
                <w:szCs w:val="24"/>
              </w:rPr>
            </w:pPr>
            <w:r>
              <w:rPr>
                <w:sz w:val="24"/>
                <w:szCs w:val="24"/>
              </w:rPr>
              <w:lastRenderedPageBreak/>
              <w:t>2.4.</w:t>
            </w:r>
          </w:p>
        </w:tc>
        <w:tc>
          <w:tcPr>
            <w:tcW w:w="4806" w:type="dxa"/>
            <w:gridSpan w:val="3"/>
            <w:tcBorders>
              <w:left w:val="single" w:sz="4" w:space="0" w:color="auto"/>
              <w:bottom w:val="single" w:sz="4" w:space="0" w:color="auto"/>
              <w:right w:val="single" w:sz="4" w:space="0" w:color="auto"/>
            </w:tcBorders>
          </w:tcPr>
          <w:p w:rsidR="00FC0BA5" w:rsidRPr="00AC4896" w:rsidRDefault="00FC0BA5" w:rsidP="00FC0BA5">
            <w:pPr>
              <w:widowControl w:val="0"/>
              <w:rPr>
                <w:sz w:val="24"/>
                <w:szCs w:val="24"/>
              </w:rPr>
            </w:pPr>
            <w:r>
              <w:rPr>
                <w:sz w:val="24"/>
                <w:szCs w:val="24"/>
              </w:rPr>
              <w:t>Предупреждение и ликвидация чрезвычайных ситуаций и пропаганда среди населения безопасности жизнедеятельности</w:t>
            </w:r>
          </w:p>
        </w:tc>
        <w:tc>
          <w:tcPr>
            <w:tcW w:w="1151" w:type="dxa"/>
            <w:gridSpan w:val="2"/>
            <w:tcBorders>
              <w:left w:val="single" w:sz="4" w:space="0" w:color="auto"/>
              <w:bottom w:val="single" w:sz="4" w:space="0" w:color="auto"/>
              <w:right w:val="single" w:sz="4" w:space="0" w:color="auto"/>
            </w:tcBorders>
          </w:tcPr>
          <w:p w:rsidR="00FC0BA5" w:rsidRPr="00AC4896"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FC0BA5" w:rsidRPr="00AC4896" w:rsidRDefault="00FC0BA5" w:rsidP="0090391D">
            <w:pPr>
              <w:widowControl w:val="0"/>
              <w:shd w:val="clear" w:color="auto" w:fill="FFFFFF"/>
              <w:autoSpaceDE w:val="0"/>
              <w:autoSpaceDN w:val="0"/>
              <w:adjustRightInd w:val="0"/>
              <w:rPr>
                <w:sz w:val="24"/>
                <w:szCs w:val="24"/>
              </w:rPr>
            </w:pPr>
            <w:r>
              <w:rPr>
                <w:sz w:val="24"/>
                <w:szCs w:val="24"/>
              </w:rPr>
              <w:t>возрастание</w:t>
            </w:r>
          </w:p>
        </w:tc>
        <w:tc>
          <w:tcPr>
            <w:tcW w:w="1309" w:type="dxa"/>
            <w:gridSpan w:val="2"/>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134" w:type="dxa"/>
            <w:gridSpan w:val="2"/>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134" w:type="dxa"/>
            <w:gridSpan w:val="2"/>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891" w:type="dxa"/>
            <w:gridSpan w:val="2"/>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FC0BA5" w:rsidRPr="00C319B0" w:rsidRDefault="00FC0BA5" w:rsidP="009C6BF5">
            <w:pPr>
              <w:widowControl w:val="0"/>
              <w:shd w:val="clear" w:color="auto" w:fill="FFFFFF"/>
              <w:autoSpaceDE w:val="0"/>
              <w:autoSpaceDN w:val="0"/>
              <w:adjustRightInd w:val="0"/>
              <w:jc w:val="center"/>
              <w:rPr>
                <w:sz w:val="24"/>
                <w:szCs w:val="24"/>
              </w:rPr>
            </w:pPr>
          </w:p>
        </w:tc>
      </w:tr>
      <w:tr w:rsidR="009C6BF5" w:rsidRPr="00C319B0" w:rsidTr="00FC0BA5">
        <w:trPr>
          <w:gridBefore w:val="2"/>
          <w:wBefore w:w="999" w:type="dxa"/>
          <w:tblCellSpacing w:w="5" w:type="nil"/>
          <w:jc w:val="center"/>
        </w:trPr>
        <w:tc>
          <w:tcPr>
            <w:tcW w:w="15875" w:type="dxa"/>
            <w:gridSpan w:val="18"/>
            <w:tcBorders>
              <w:left w:val="single" w:sz="4" w:space="0" w:color="auto"/>
              <w:bottom w:val="single" w:sz="4" w:space="0" w:color="auto"/>
              <w:right w:val="single" w:sz="4" w:space="0" w:color="auto"/>
            </w:tcBorders>
          </w:tcPr>
          <w:p w:rsidR="009C6BF5" w:rsidRPr="00C319B0" w:rsidRDefault="009C6BF5" w:rsidP="009C6BF5">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Pr="0046161D">
              <w:rPr>
                <w:sz w:val="24"/>
                <w:szCs w:val="24"/>
              </w:rPr>
              <w:t>Обеспечение безопасности на воде»</w:t>
            </w:r>
          </w:p>
        </w:tc>
      </w:tr>
      <w:tr w:rsidR="00772DE4" w:rsidRPr="00C319B0" w:rsidTr="00FC0BA5">
        <w:trPr>
          <w:gridAfter w:val="1"/>
          <w:wAfter w:w="1020" w:type="dxa"/>
          <w:tblCellSpacing w:w="5" w:type="nil"/>
          <w:jc w:val="center"/>
        </w:trPr>
        <w:tc>
          <w:tcPr>
            <w:tcW w:w="604" w:type="dxa"/>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4897"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085370">
              <w:rPr>
                <w:sz w:val="24"/>
                <w:szCs w:val="24"/>
              </w:rPr>
              <w:t xml:space="preserve">Количество лекций и бесед, проведенных среди населения </w:t>
            </w:r>
            <w:r>
              <w:rPr>
                <w:sz w:val="24"/>
                <w:szCs w:val="24"/>
              </w:rPr>
              <w:t xml:space="preserve">о </w:t>
            </w:r>
            <w:r w:rsidRPr="00085370">
              <w:rPr>
                <w:sz w:val="24"/>
                <w:szCs w:val="24"/>
              </w:rPr>
              <w:t>безопасности жизнедеятельности и обучение действиям при возникновении опасности на воде</w:t>
            </w:r>
          </w:p>
        </w:tc>
        <w:tc>
          <w:tcPr>
            <w:tcW w:w="1134" w:type="dxa"/>
            <w:gridSpan w:val="2"/>
            <w:tcBorders>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rPr>
                <w:sz w:val="24"/>
                <w:szCs w:val="24"/>
              </w:rPr>
            </w:pPr>
            <w:r w:rsidRPr="00A53800">
              <w:rPr>
                <w:sz w:val="24"/>
                <w:szCs w:val="24"/>
              </w:rPr>
              <w:t>единиц</w:t>
            </w:r>
          </w:p>
          <w:p w:rsidR="00772DE4" w:rsidRPr="00C319B0" w:rsidRDefault="00772DE4" w:rsidP="0090391D">
            <w:pPr>
              <w:widowControl w:val="0"/>
              <w:shd w:val="clear" w:color="auto" w:fill="FFFFFF"/>
              <w:autoSpaceDE w:val="0"/>
              <w:autoSpaceDN w:val="0"/>
              <w:adjustRightInd w:val="0"/>
              <w:rPr>
                <w:sz w:val="24"/>
                <w:szCs w:val="24"/>
              </w:rPr>
            </w:pPr>
          </w:p>
        </w:tc>
        <w:tc>
          <w:tcPr>
            <w:tcW w:w="170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53800">
              <w:rPr>
                <w:sz w:val="24"/>
                <w:szCs w:val="24"/>
              </w:rPr>
              <w:t>возрастание</w:t>
            </w:r>
          </w:p>
        </w:tc>
        <w:tc>
          <w:tcPr>
            <w:tcW w:w="1275"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843" w:type="dxa"/>
            <w:gridSpan w:val="2"/>
            <w:tcBorders>
              <w:left w:val="single" w:sz="4" w:space="0" w:color="auto"/>
              <w:bottom w:val="single" w:sz="4" w:space="0" w:color="auto"/>
              <w:right w:val="single" w:sz="4" w:space="0" w:color="auto"/>
            </w:tcBorders>
          </w:tcPr>
          <w:p w:rsidR="00772DE4" w:rsidRPr="00C319B0" w:rsidRDefault="00772DE4" w:rsidP="00EE01C3">
            <w:pPr>
              <w:widowControl w:val="0"/>
              <w:shd w:val="clear" w:color="auto" w:fill="FFFFFF"/>
              <w:autoSpaceDE w:val="0"/>
              <w:autoSpaceDN w:val="0"/>
              <w:adjustRightInd w:val="0"/>
              <w:jc w:val="center"/>
              <w:rPr>
                <w:sz w:val="24"/>
                <w:szCs w:val="24"/>
              </w:rPr>
            </w:pPr>
            <w:r>
              <w:rPr>
                <w:sz w:val="24"/>
                <w:szCs w:val="24"/>
              </w:rPr>
              <w:t>100</w:t>
            </w:r>
          </w:p>
        </w:tc>
        <w:tc>
          <w:tcPr>
            <w:tcW w:w="2132"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11" w:rsidRDefault="00906A11">
      <w:r>
        <w:separator/>
      </w:r>
    </w:p>
  </w:endnote>
  <w:endnote w:type="continuationSeparator" w:id="0">
    <w:p w:rsidR="00906A11" w:rsidRDefault="0090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62745">
      <w:rPr>
        <w:rStyle w:val="aa"/>
        <w:noProof/>
      </w:rPr>
      <w:t>14</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11" w:rsidRDefault="00906A11">
      <w:r>
        <w:separator/>
      </w:r>
    </w:p>
  </w:footnote>
  <w:footnote w:type="continuationSeparator" w:id="0">
    <w:p w:rsidR="00906A11" w:rsidRDefault="00906A11">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2D4"/>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9784E"/>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346BD"/>
    <w:rsid w:val="0044019D"/>
    <w:rsid w:val="004424C8"/>
    <w:rsid w:val="00442DEE"/>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2745"/>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6387"/>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4685"/>
    <w:rsid w:val="00666C0B"/>
    <w:rsid w:val="00667BA8"/>
    <w:rsid w:val="00667CA4"/>
    <w:rsid w:val="006719B9"/>
    <w:rsid w:val="0067259D"/>
    <w:rsid w:val="00673FC1"/>
    <w:rsid w:val="00674944"/>
    <w:rsid w:val="00676216"/>
    <w:rsid w:val="006815F5"/>
    <w:rsid w:val="00681ECD"/>
    <w:rsid w:val="00685263"/>
    <w:rsid w:val="0068570C"/>
    <w:rsid w:val="00685DB7"/>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722"/>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434A"/>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06A11"/>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397B"/>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532"/>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0EE13-2D99-40D2-A0F1-C64ACBF6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14</Pages>
  <Words>3248</Words>
  <Characters>18518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21723</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2026-02-12T08:53:00Z</cp:lastPrinted>
  <dcterms:created xsi:type="dcterms:W3CDTF">2026-03-24T11:37:00Z</dcterms:created>
  <dcterms:modified xsi:type="dcterms:W3CDTF">2026-03-24T11:37:00Z</dcterms:modified>
</cp:coreProperties>
</file>